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eastAsia="方正小标宋简体"/>
          <w:kern w:val="0"/>
        </w:rPr>
      </w:pPr>
    </w:p>
    <w:tbl>
      <w:tblPr>
        <w:tblStyle w:val="6"/>
        <w:tblpPr w:leftFromText="180" w:rightFromText="180" w:vertAnchor="text" w:horzAnchor="page" w:tblpX="1657" w:tblpY="144"/>
        <w:tblOverlap w:val="never"/>
        <w:tblW w:w="903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9"/>
        <w:gridCol w:w="1313"/>
        <w:gridCol w:w="1319"/>
        <w:gridCol w:w="1055"/>
        <w:gridCol w:w="1060"/>
        <w:gridCol w:w="2234"/>
      </w:tblGrid>
      <w:tr>
        <w:tblPrEx>
          <w:tblLayout w:type="fixed"/>
        </w:tblPrEx>
        <w:trPr>
          <w:trHeight w:val="450" w:hRule="atLeast"/>
        </w:trPr>
        <w:tc>
          <w:tcPr>
            <w:tcW w:w="9030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eastAsia="方正小标宋简体"/>
                <w:kern w:val="0"/>
                <w:lang w:val="en-US" w:eastAsia="zh-CN"/>
              </w:rPr>
              <w:t>2018</w:t>
            </w:r>
            <w:r>
              <w:rPr>
                <w:rFonts w:hint="eastAsia" w:ascii="方正小标宋简体" w:eastAsia="方正小标宋简体"/>
                <w:kern w:val="0"/>
              </w:rPr>
              <w:t>社</w:t>
            </w:r>
            <w:r>
              <w:rPr>
                <w:rFonts w:hint="eastAsia" w:ascii="方正小标宋简体" w:eastAsia="方正小标宋简体"/>
                <w:kern w:val="0"/>
                <w:lang w:eastAsia="zh-CN"/>
              </w:rPr>
              <w:t>保年度中山市社会</w:t>
            </w:r>
            <w:r>
              <w:rPr>
                <w:rFonts w:hint="eastAsia" w:ascii="方正小标宋简体" w:eastAsia="方正小标宋简体"/>
                <w:kern w:val="0"/>
              </w:rPr>
              <w:t>医疗保险缴费</w:t>
            </w:r>
            <w:r>
              <w:rPr>
                <w:rFonts w:hint="eastAsia" w:ascii="方正小标宋简体" w:eastAsia="方正小标宋简体"/>
                <w:kern w:val="0"/>
                <w:lang w:eastAsia="zh-CN"/>
              </w:rPr>
              <w:t>基数及</w:t>
            </w:r>
            <w:r>
              <w:rPr>
                <w:rFonts w:hint="eastAsia" w:ascii="方正小标宋简体" w:eastAsia="方正小标宋简体"/>
                <w:kern w:val="0"/>
              </w:rPr>
              <w:t>最高支付限额</w:t>
            </w:r>
            <w:r>
              <w:rPr>
                <w:rFonts w:hint="eastAsia" w:ascii="方正小标宋简体" w:eastAsia="方正小标宋简体"/>
                <w:kern w:val="0"/>
                <w:lang w:eastAsia="zh-CN"/>
              </w:rPr>
              <w:t>表</w:t>
            </w:r>
          </w:p>
        </w:tc>
      </w:tr>
      <w:tr>
        <w:tblPrEx>
          <w:tblLayout w:type="fixed"/>
        </w:tblPrEx>
        <w:trPr>
          <w:trHeight w:val="391" w:hRule="exact"/>
        </w:trPr>
        <w:tc>
          <w:tcPr>
            <w:tcW w:w="2049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3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319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55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234" w:type="dxa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单位：元</w:t>
            </w:r>
          </w:p>
        </w:tc>
      </w:tr>
    </w:tbl>
    <w:tbl>
      <w:tblPr>
        <w:tblStyle w:val="6"/>
        <w:tblW w:w="8460" w:type="dxa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0"/>
        <w:gridCol w:w="1285"/>
        <w:gridCol w:w="1312"/>
        <w:gridCol w:w="1513"/>
        <w:gridCol w:w="1507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1" w:hRule="atLeast"/>
        </w:trPr>
        <w:tc>
          <w:tcPr>
            <w:tcW w:w="2615" w:type="dxa"/>
            <w:gridSpan w:val="2"/>
            <w:vMerge w:val="restart"/>
            <w:tcBorders>
              <w:tl2br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险种      年度</w:t>
            </w:r>
          </w:p>
        </w:tc>
        <w:tc>
          <w:tcPr>
            <w:tcW w:w="58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2018社保年度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41" w:hRule="atLeast"/>
        </w:trPr>
        <w:tc>
          <w:tcPr>
            <w:tcW w:w="261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缴费</w:t>
            </w: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基数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缴费金额</w:t>
            </w:r>
          </w:p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（月）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缴费年限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最高支付限额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基本医疗保险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2890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72.25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&lt;1年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69358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≥1年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208074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补充医疗保险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2890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289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1-2年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208074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2-3年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277432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3年以上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346790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门诊基本医疗保险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2800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19.6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&lt;1年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2615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≥1年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3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大病医疗保险</w:t>
            </w:r>
          </w:p>
        </w:tc>
        <w:tc>
          <w:tcPr>
            <w:tcW w:w="12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参加基本医疗保险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&lt;1</w:t>
            </w: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>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>69358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3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>≥1年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  <w:t>138716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3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  <w:t>参加补充医疗保险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1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1-2年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208074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atLeast"/>
        </w:trPr>
        <w:tc>
          <w:tcPr>
            <w:tcW w:w="13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2-3年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277432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76" w:hRule="atLeast"/>
        </w:trPr>
        <w:tc>
          <w:tcPr>
            <w:tcW w:w="13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1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07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3年以上</w:t>
            </w:r>
          </w:p>
        </w:tc>
        <w:tc>
          <w:tcPr>
            <w:tcW w:w="1513" w:type="dxa"/>
            <w:vAlign w:val="center"/>
          </w:tcPr>
          <w:p>
            <w:pPr>
              <w:widowControl/>
              <w:jc w:val="center"/>
              <w:rPr>
                <w:rFonts w:hint="eastAsia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_GB2312" w:cs="仿宋_GB2312"/>
                <w:color w:val="000000"/>
                <w:kern w:val="0"/>
                <w:sz w:val="24"/>
                <w:szCs w:val="24"/>
                <w:lang w:bidi="ar"/>
              </w:rPr>
              <w:t>346790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hAnsi="仿宋_GB2312" w:cs="仿宋_GB2312"/>
          <w:spacing w:val="12"/>
        </w:rPr>
      </w:pPr>
    </w:p>
    <w:p/>
    <w:sectPr>
      <w:footerReference r:id="rId3" w:type="default"/>
      <w:footerReference r:id="rId4" w:type="even"/>
      <w:pgSz w:w="11906" w:h="16838"/>
      <w:pgMar w:top="1985" w:right="1701" w:bottom="1701" w:left="1701" w:header="1418" w:footer="141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- 1 -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B1F1E"/>
    <w:rsid w:val="3968193B"/>
    <w:rsid w:val="3C7742DD"/>
    <w:rsid w:val="40AD16BE"/>
    <w:rsid w:val="53A57F36"/>
    <w:rsid w:val="5A7B1F1E"/>
    <w:rsid w:val="71AE2E05"/>
    <w:rsid w:val="7A07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仿宋_GB231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4">
    <w:name w:val="Char Char Char Char Char Char1 Char"/>
    <w:basedOn w:val="1"/>
    <w:link w:val="3"/>
    <w:qFormat/>
    <w:uiPriority w:val="0"/>
    <w:pPr>
      <w:widowControl/>
      <w:suppressLineNumbers w:val="0"/>
      <w:adjustRightInd/>
      <w:spacing w:after="160" w:afterLines="0" w:line="240" w:lineRule="exact"/>
      <w:jc w:val="left"/>
    </w:pPr>
    <w:rPr>
      <w:rFonts w:ascii="仿宋_GB2312"/>
    </w:rPr>
  </w:style>
  <w:style w:type="character" w:styleId="5">
    <w:name w:val="page number"/>
    <w:basedOn w:val="3"/>
    <w:qFormat/>
    <w:uiPriority w:val="0"/>
    <w:rPr>
      <w:rFonts w:ascii="仿宋_GB2312" w:eastAsia="仿宋_GB2312"/>
      <w:color w:val="auto"/>
      <w:spacing w:val="0"/>
      <w:w w:val="100"/>
      <w:kern w:val="28"/>
      <w:position w:val="0"/>
      <w:sz w:val="2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市劳动和社会保障局</Company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2018-07-06T06:54:00Z</dcterms:created>
  <dc:creator>刘乐</dc:creator>
  <cp:lastModifiedBy>伍洋</cp:lastModifiedBy>
  <dcterms:modified xsi:type="dcterms:W3CDTF">2018-07-06T07:55:19Z</dcterms:modified>
  <dc:title>2018社会年度中山市医疗保险缴费基数及最高支付限额表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