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建设工程领域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农民工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工资保证金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缴存证明（参考模板）</w:t>
      </w:r>
      <w:bookmarkEnd w:id="0"/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60"/>
        <w:gridCol w:w="930"/>
        <w:gridCol w:w="1905"/>
        <w:gridCol w:w="241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vertAlign w:val="baseline"/>
                <w:lang w:val="en-US" w:eastAsia="zh-CN"/>
              </w:rPr>
              <w:t>开户企业名称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工资保证金开户银行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工资保证金账号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工资保证金账户总金额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  <w:t>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（大写：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在我市所属工程项目名称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账户总金额</w:t>
            </w:r>
            <w:r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  <w:t>未达到500万元时填写）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  <w:t>工程承包合同总价（万元）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  <w:t>缴存金额</w:t>
            </w:r>
            <w:r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34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楷体_GB2312" w:cs="Arial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备  注</w:t>
            </w:r>
          </w:p>
        </w:tc>
        <w:tc>
          <w:tcPr>
            <w:tcW w:w="70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《广东省建设工程领域农民工工资支付保证金管理办法》（粤人社规〔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）和《中山市建设工程领域农民工工资支付保证金管理实施细则》（</w:t>
      </w:r>
      <w:r>
        <w:rPr>
          <w:rFonts w:hint="eastAsia" w:eastAsia="仿宋_GB2312" w:cs="Times New Roman"/>
          <w:sz w:val="32"/>
          <w:szCs w:val="32"/>
          <w:lang w:eastAsia="zh-CN"/>
        </w:rPr>
        <w:t>中人社规字〔2020〕4号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我行为该企业开立了一个工资保证金账号，并办理了农民工工资保证金缴存业务。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（银行名称）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E76DD9-198B-4DA8-A248-EE959DAE78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F4BFC3-A1EF-47BB-8440-6D7C21242F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54929F-600D-462F-89B3-E070F81AA5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72D6C8-B3ED-4504-958D-BC2B30B024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30B24AD-EDBA-4E99-BE8C-60334CCF9F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66221"/>
    <w:rsid w:val="1AE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2020-07-29T03:31:00Z</dcterms:created>
  <dc:creator>momoto</dc:creator>
  <cp:lastModifiedBy>momoto</cp:lastModifiedBy>
  <dcterms:modified xsi:type="dcterms:W3CDTF">2020-07-29T03:32:18Z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