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pacing w:val="-20"/>
          <w:sz w:val="44"/>
          <w:szCs w:val="44"/>
        </w:rPr>
      </w:pPr>
      <w:r>
        <w:rPr>
          <w:rFonts w:hint="eastAsia" w:ascii="宋体" w:hAnsi="宋体" w:eastAsia="宋体" w:cs="宋体"/>
          <w:b/>
          <w:bCs/>
          <w:spacing w:val="-20"/>
          <w:sz w:val="44"/>
          <w:szCs w:val="44"/>
        </w:rPr>
        <w:t>中山市企业紧缺适用高层次人才评定体系</w:t>
      </w:r>
    </w:p>
    <w:p>
      <w:pPr>
        <w:jc w:val="center"/>
        <w:rPr>
          <w:rFonts w:hint="eastAsia" w:ascii="宋体" w:hAnsi="宋体" w:eastAsia="宋体" w:cs="宋体"/>
          <w:b/>
          <w:bCs/>
          <w:sz w:val="44"/>
          <w:szCs w:val="44"/>
        </w:rPr>
      </w:pPr>
      <w:r>
        <w:rPr>
          <w:rFonts w:hint="eastAsia" w:ascii="宋体" w:hAnsi="宋体" w:eastAsia="宋体" w:cs="宋体"/>
          <w:b/>
          <w:bCs/>
          <w:sz w:val="44"/>
          <w:szCs w:val="44"/>
        </w:rPr>
        <w:t>修订说明</w:t>
      </w:r>
    </w:p>
    <w:p>
      <w:pPr>
        <w:jc w:val="center"/>
        <w:rPr>
          <w:rFonts w:hint="eastAsia" w:ascii="宋体" w:hAnsi="宋体" w:eastAsia="宋体"/>
          <w:sz w:val="30"/>
          <w:szCs w:val="30"/>
        </w:rPr>
      </w:pPr>
      <w:r>
        <w:rPr>
          <w:rFonts w:hint="eastAsia" w:ascii="宋体" w:hAnsi="宋体" w:eastAsia="宋体"/>
          <w:sz w:val="30"/>
          <w:szCs w:val="30"/>
        </w:rPr>
        <w:t>（</w:t>
      </w:r>
      <w:r>
        <w:rPr>
          <w:rFonts w:hint="eastAsia" w:ascii="宋体" w:hAnsi="宋体" w:eastAsia="宋体"/>
          <w:sz w:val="30"/>
          <w:szCs w:val="30"/>
          <w:lang w:eastAsia="zh-CN"/>
        </w:rPr>
        <w:t>征求意见稿</w:t>
      </w:r>
      <w:r>
        <w:rPr>
          <w:rFonts w:hint="eastAsia" w:ascii="宋体" w:hAnsi="宋体" w:eastAsia="宋体"/>
          <w:sz w:val="30"/>
          <w:szCs w:val="30"/>
        </w:rPr>
        <w:t>）</w:t>
      </w:r>
    </w:p>
    <w:p>
      <w:pPr>
        <w:jc w:val="center"/>
        <w:rPr>
          <w:rFonts w:hint="eastAsia" w:ascii="宋体" w:hAnsi="宋体" w:eastAsia="宋体"/>
          <w:sz w:val="30"/>
          <w:szCs w:val="30"/>
        </w:rPr>
      </w:pPr>
      <w:bookmarkStart w:id="0" w:name="_GoBack"/>
      <w:bookmarkEnd w:id="0"/>
    </w:p>
    <w:p>
      <w:pPr>
        <w:ind w:firstLine="570"/>
        <w:rPr>
          <w:rFonts w:ascii="仿宋_GB2312" w:hAnsi="仿宋_GB2312" w:eastAsia="仿宋_GB2312" w:cs="Times New Roman"/>
          <w:sz w:val="32"/>
          <w:szCs w:val="32"/>
        </w:rPr>
      </w:pPr>
      <w:r>
        <w:rPr>
          <w:rFonts w:ascii="仿宋_GB2312" w:hAnsi="仿宋_GB2312" w:eastAsia="仿宋_GB2312" w:cs="Times New Roman"/>
          <w:sz w:val="32"/>
          <w:szCs w:val="32"/>
        </w:rPr>
        <w:t>为深入贯彻中央和省委关于深化人才发展体制机制改革的总体部署，抢抓“双区驱动”重大历史机遇，全面推进我市人才优先发展战略和创新驱动发展战略，助力中山加快转型升级，重振虎威，实现高质量崛起提供精准的智力支持和人才支撑，对《中山市企业紧缺适用高层次人才评定体系》（以下简称《人才评定体系》）进行修订。</w:t>
      </w:r>
    </w:p>
    <w:p>
      <w:pPr>
        <w:pStyle w:val="9"/>
        <w:numPr>
          <w:ilvl w:val="0"/>
          <w:numId w:val="1"/>
        </w:numPr>
        <w:ind w:firstLineChars="0"/>
        <w:rPr>
          <w:rFonts w:ascii="黑体" w:hAnsi="黑体" w:eastAsia="黑体" w:cs="Times New Roman"/>
          <w:sz w:val="32"/>
          <w:szCs w:val="32"/>
        </w:rPr>
      </w:pPr>
      <w:r>
        <w:rPr>
          <w:rFonts w:ascii="黑体" w:hAnsi="黑体" w:eastAsia="黑体" w:cs="Times New Roman"/>
          <w:sz w:val="32"/>
          <w:szCs w:val="32"/>
        </w:rPr>
        <w:t>修订背景</w:t>
      </w:r>
    </w:p>
    <w:p>
      <w:pPr>
        <w:ind w:firstLine="688" w:firstLineChars="200"/>
        <w:rPr>
          <w:rFonts w:hint="eastAsia" w:ascii="仿宋_GB2312" w:hAnsi="仿宋_GB2312" w:eastAsia="仿宋_GB2312" w:cs="Times New Roman"/>
          <w:color w:val="FF0000"/>
          <w:spacing w:val="12"/>
          <w:kern w:val="0"/>
          <w:sz w:val="32"/>
          <w:szCs w:val="32"/>
          <w:lang w:eastAsia="zh-CN"/>
        </w:rPr>
      </w:pPr>
      <w:r>
        <w:rPr>
          <w:rFonts w:hint="eastAsia" w:ascii="仿宋_GB2312" w:hAnsi="仿宋_GB2312" w:eastAsia="仿宋_GB2312" w:cs="Times New Roman"/>
          <w:color w:val="FF0000"/>
          <w:spacing w:val="12"/>
          <w:kern w:val="0"/>
          <w:sz w:val="32"/>
          <w:szCs w:val="32"/>
          <w:lang w:val="en-US" w:eastAsia="zh-CN"/>
        </w:rPr>
        <w:t>2015年，我市出台《中山市企业紧缺适用高层次人才评定管理暂行办法》，</w:t>
      </w:r>
      <w:r>
        <w:rPr>
          <w:rFonts w:hint="eastAsia" w:ascii="仿宋_GB2312" w:hAnsi="????" w:eastAsia="仿宋_GB2312"/>
          <w:color w:val="FF0000"/>
          <w:sz w:val="32"/>
          <w:szCs w:val="32"/>
        </w:rPr>
        <w:t>创新性地提出多元评价和综合评审的评价方式，解决政府部门和企事业单位对人才认定方法机械单一问题</w:t>
      </w:r>
      <w:r>
        <w:rPr>
          <w:rFonts w:hint="eastAsia" w:ascii="仿宋_GB2312" w:hAnsi="????" w:eastAsia="仿宋_GB2312"/>
          <w:color w:val="FF0000"/>
          <w:sz w:val="32"/>
          <w:szCs w:val="32"/>
          <w:lang w:eastAsia="zh-CN"/>
        </w:rPr>
        <w:t>。五年以来，</w:t>
      </w:r>
      <w:r>
        <w:rPr>
          <w:rFonts w:hint="eastAsia" w:ascii="仿宋_GB2312" w:hAnsi="仿宋_GB2312" w:eastAsia="仿宋_GB2312" w:cs="Times New Roman"/>
          <w:color w:val="FF0000"/>
          <w:spacing w:val="12"/>
          <w:kern w:val="0"/>
          <w:sz w:val="32"/>
          <w:szCs w:val="32"/>
          <w:lang w:eastAsia="zh-CN"/>
        </w:rPr>
        <w:t>不同产业、不同行业的精英人才脱颖而出，共评定出高层次</w:t>
      </w:r>
      <w:r>
        <w:rPr>
          <w:rFonts w:hint="eastAsia" w:ascii="仿宋_GB2312" w:hAnsi="仿宋_GB2312" w:eastAsia="仿宋_GB2312" w:cs="Times New Roman"/>
          <w:color w:val="FF0000"/>
          <w:spacing w:val="12"/>
          <w:kern w:val="0"/>
          <w:sz w:val="32"/>
          <w:szCs w:val="32"/>
          <w:lang w:val="en-US" w:eastAsia="zh-CN"/>
        </w:rPr>
        <w:t>人才共</w:t>
      </w:r>
      <w:r>
        <w:rPr>
          <w:rFonts w:hint="eastAsia" w:ascii="仿宋_GB2312" w:hAnsi="仿宋_GB2312" w:eastAsia="仿宋_GB2312" w:cs="Times New Roman"/>
          <w:color w:val="FF0000"/>
          <w:spacing w:val="12"/>
          <w:kern w:val="0"/>
          <w:sz w:val="32"/>
          <w:szCs w:val="32"/>
          <w:lang w:eastAsia="zh-CN"/>
        </w:rPr>
        <w:t>？人，</w:t>
      </w:r>
      <w:r>
        <w:rPr>
          <w:rFonts w:hint="eastAsia" w:ascii="仿宋_GB2312" w:hAnsi="????" w:eastAsia="仿宋_GB2312"/>
          <w:color w:val="FF0000"/>
          <w:sz w:val="32"/>
          <w:szCs w:val="32"/>
        </w:rPr>
        <w:t>受到企事业单位的广泛好评。</w:t>
      </w:r>
      <w:r>
        <w:rPr>
          <w:rFonts w:hint="eastAsia" w:ascii="仿宋_GB2312" w:hAnsi="????" w:eastAsia="仿宋_GB2312"/>
          <w:color w:val="FF0000"/>
          <w:sz w:val="32"/>
          <w:szCs w:val="32"/>
          <w:lang w:eastAsia="zh-CN"/>
        </w:rPr>
        <w:t>但是，随着我市产业发展转型升级，企业的人才需求更加细分，对于不同产业、不同行业、不同领域、不同类别、不同岗位的人才评价标准提出了更高要求。</w:t>
      </w:r>
    </w:p>
    <w:p>
      <w:pPr>
        <w:ind w:firstLine="688" w:firstLineChars="200"/>
        <w:rPr>
          <w:rFonts w:hint="eastAsia" w:ascii="仿宋_GB2312" w:hAnsi="仿宋_GB2312" w:eastAsia="仿宋_GB2312" w:cs="Times New Roman"/>
          <w:spacing w:val="12"/>
          <w:kern w:val="0"/>
          <w:sz w:val="32"/>
          <w:szCs w:val="32"/>
          <w:lang w:eastAsia="zh-CN"/>
        </w:rPr>
      </w:pPr>
      <w:r>
        <w:rPr>
          <w:rFonts w:hint="eastAsia" w:ascii="仿宋_GB2312" w:hAnsi="仿宋_GB2312" w:eastAsia="仿宋_GB2312" w:cs="Times New Roman"/>
          <w:color w:val="FF0000"/>
          <w:spacing w:val="12"/>
          <w:kern w:val="0"/>
          <w:sz w:val="32"/>
          <w:szCs w:val="32"/>
        </w:rPr>
        <w:t>为</w:t>
      </w:r>
      <w:r>
        <w:rPr>
          <w:rFonts w:hint="eastAsia" w:ascii="仿宋_GB2312" w:hAnsi="仿宋_GB2312" w:eastAsia="仿宋_GB2312" w:cs="Times New Roman"/>
          <w:color w:val="FF0000"/>
          <w:spacing w:val="12"/>
          <w:kern w:val="0"/>
          <w:sz w:val="32"/>
          <w:szCs w:val="32"/>
          <w:lang w:eastAsia="zh-CN"/>
        </w:rPr>
        <w:t>进一步</w:t>
      </w:r>
      <w:r>
        <w:rPr>
          <w:rFonts w:hint="eastAsia" w:ascii="仿宋_GB2312" w:hAnsi="仿宋_GB2312" w:eastAsia="仿宋_GB2312" w:cs="Times New Roman"/>
          <w:color w:val="FF0000"/>
          <w:spacing w:val="12"/>
          <w:kern w:val="0"/>
          <w:sz w:val="32"/>
          <w:szCs w:val="32"/>
        </w:rPr>
        <w:t>加强高层次人才队伍建设，</w:t>
      </w:r>
      <w:r>
        <w:rPr>
          <w:rFonts w:hint="eastAsia" w:ascii="仿宋_GB2312" w:hAnsi="仿宋_GB2312" w:eastAsia="仿宋_GB2312" w:cs="Times New Roman"/>
          <w:color w:val="FF0000"/>
          <w:spacing w:val="12"/>
          <w:kern w:val="0"/>
          <w:sz w:val="32"/>
          <w:szCs w:val="32"/>
          <w:lang w:eastAsia="zh-CN"/>
        </w:rPr>
        <w:t>市人社局根据各行业协会、重点企业和不同领域人才所反映的意见建议以及近年来组织开展人才评定工作中发现问题，聘请课题组进行专题研究，一是广泛征询基层意见建议，收集评定工作存在问题以及工作成效，对评定工作实际作用进行分析评价；</w:t>
      </w:r>
      <w:r>
        <w:rPr>
          <w:rFonts w:hint="eastAsia" w:ascii="仿宋_GB2312" w:hAnsi="宋体" w:eastAsia="仿宋_GB2312"/>
          <w:color w:val="FF0000"/>
          <w:sz w:val="32"/>
          <w:szCs w:val="32"/>
          <w:lang w:eastAsia="zh-CN"/>
        </w:rPr>
        <w:t>二是</w:t>
      </w:r>
      <w:r>
        <w:rPr>
          <w:rFonts w:hint="eastAsia" w:ascii="仿宋_GB2312" w:hAnsi="宋体" w:eastAsia="仿宋_GB2312"/>
          <w:color w:val="FF0000"/>
          <w:sz w:val="32"/>
          <w:szCs w:val="32"/>
        </w:rPr>
        <w:t>修订政策条款</w:t>
      </w:r>
      <w:r>
        <w:rPr>
          <w:rFonts w:hint="eastAsia" w:ascii="仿宋_GB2312" w:hAnsi="宋体" w:eastAsia="仿宋_GB2312"/>
          <w:color w:val="FF0000"/>
          <w:sz w:val="32"/>
          <w:szCs w:val="32"/>
          <w:lang w:eastAsia="zh-CN"/>
        </w:rPr>
        <w:t>，</w:t>
      </w:r>
      <w:r>
        <w:rPr>
          <w:rFonts w:hint="eastAsia" w:ascii="仿宋_GB2312" w:hAnsi="宋体" w:eastAsia="仿宋_GB2312"/>
          <w:color w:val="FF0000"/>
          <w:sz w:val="32"/>
          <w:szCs w:val="32"/>
        </w:rPr>
        <w:t>对</w:t>
      </w:r>
      <w:r>
        <w:rPr>
          <w:rFonts w:hint="eastAsia" w:ascii="仿宋_GB2312" w:hAnsi="仿宋_GB2312" w:eastAsia="仿宋_GB2312" w:cs="仿宋_GB2312"/>
          <w:color w:val="FF0000"/>
          <w:sz w:val="32"/>
          <w:szCs w:val="32"/>
        </w:rPr>
        <w:t>《中山市企业紧缺适用高层次人才评定管理暂行办法》提出修订建议，完善有关管理机制、参评条件、审查条款等</w:t>
      </w:r>
      <w:r>
        <w:rPr>
          <w:rFonts w:hint="eastAsia" w:ascii="仿宋_GB2312" w:hAnsi="仿宋_GB2312" w:eastAsia="仿宋_GB2312" w:cs="仿宋_GB2312"/>
          <w:color w:val="FF0000"/>
          <w:sz w:val="32"/>
          <w:szCs w:val="32"/>
          <w:lang w:eastAsia="zh-CN"/>
        </w:rPr>
        <w:t>；三是</w:t>
      </w:r>
      <w:r>
        <w:rPr>
          <w:rFonts w:hint="eastAsia" w:ascii="仿宋_GB2312" w:hAnsi="宋体" w:eastAsia="仿宋_GB2312"/>
          <w:color w:val="FF0000"/>
          <w:sz w:val="32"/>
          <w:szCs w:val="32"/>
        </w:rPr>
        <w:t>完善</w:t>
      </w:r>
      <w:r>
        <w:rPr>
          <w:rFonts w:hint="eastAsia" w:ascii="仿宋_GB2312" w:hAnsi="宋体" w:eastAsia="仿宋_GB2312"/>
          <w:color w:val="FF0000"/>
          <w:sz w:val="32"/>
          <w:szCs w:val="32"/>
          <w:lang w:eastAsia="zh-CN"/>
        </w:rPr>
        <w:t>评分</w:t>
      </w:r>
      <w:r>
        <w:rPr>
          <w:rFonts w:hint="eastAsia" w:ascii="仿宋_GB2312" w:hAnsi="宋体" w:eastAsia="仿宋_GB2312"/>
          <w:color w:val="FF0000"/>
          <w:sz w:val="32"/>
          <w:szCs w:val="32"/>
        </w:rPr>
        <w:t>指标体系</w:t>
      </w:r>
      <w:r>
        <w:rPr>
          <w:rFonts w:hint="eastAsia" w:ascii="仿宋_GB2312" w:hAnsi="宋体" w:eastAsia="仿宋_GB2312"/>
          <w:color w:val="FF0000"/>
          <w:sz w:val="32"/>
          <w:szCs w:val="32"/>
          <w:lang w:eastAsia="zh-CN"/>
        </w:rPr>
        <w:t>，</w:t>
      </w:r>
      <w:r>
        <w:rPr>
          <w:rFonts w:hint="eastAsia" w:ascii="仿宋_GB2312" w:hAnsi="仿宋_GB2312" w:eastAsia="仿宋_GB2312" w:cs="仿宋_GB2312"/>
          <w:color w:val="FF0000"/>
          <w:sz w:val="32"/>
          <w:szCs w:val="32"/>
        </w:rPr>
        <w:t>根据产业、行业细分以及人才培养引进工作的特点，</w:t>
      </w:r>
      <w:r>
        <w:rPr>
          <w:rFonts w:hint="eastAsia" w:ascii="仿宋_GB2312" w:hAnsi="仿宋_GB2312" w:eastAsia="仿宋_GB2312" w:cs="仿宋_GB2312"/>
          <w:color w:val="FF0000"/>
          <w:sz w:val="32"/>
          <w:szCs w:val="32"/>
          <w:lang w:eastAsia="zh-CN"/>
        </w:rPr>
        <w:t>借鉴我市事业单位紧缺适用高层次人才评定评分指标体系，</w:t>
      </w:r>
      <w:r>
        <w:rPr>
          <w:rFonts w:hint="eastAsia" w:ascii="仿宋_GB2312" w:hAnsi="仿宋_GB2312" w:eastAsia="仿宋_GB2312" w:cs="仿宋_GB2312"/>
          <w:color w:val="FF0000"/>
          <w:sz w:val="32"/>
          <w:szCs w:val="32"/>
        </w:rPr>
        <w:t>设计</w:t>
      </w:r>
      <w:r>
        <w:rPr>
          <w:rFonts w:hint="eastAsia" w:ascii="仿宋_GB2312" w:hAnsi="仿宋_GB2312" w:eastAsia="仿宋_GB2312" w:cs="仿宋_GB2312"/>
          <w:color w:val="FF0000"/>
          <w:sz w:val="32"/>
          <w:szCs w:val="32"/>
          <w:lang w:eastAsia="zh-CN"/>
        </w:rPr>
        <w:t>出我</w:t>
      </w:r>
      <w:r>
        <w:rPr>
          <w:rFonts w:hint="eastAsia" w:ascii="仿宋_GB2312" w:hAnsi="仿宋_GB2312" w:eastAsia="仿宋_GB2312" w:cs="仿宋_GB2312"/>
          <w:color w:val="FF0000"/>
          <w:sz w:val="32"/>
          <w:szCs w:val="32"/>
        </w:rPr>
        <w:t>市企业紧缺适用高层次人才评定</w:t>
      </w:r>
      <w:r>
        <w:rPr>
          <w:rFonts w:hint="eastAsia" w:ascii="仿宋_GB2312" w:hAnsi="仿宋_GB2312" w:eastAsia="仿宋_GB2312" w:cs="仿宋_GB2312"/>
          <w:color w:val="FF0000"/>
          <w:sz w:val="32"/>
          <w:szCs w:val="32"/>
          <w:lang w:eastAsia="zh-CN"/>
        </w:rPr>
        <w:t>新的</w:t>
      </w:r>
      <w:r>
        <w:rPr>
          <w:rFonts w:hint="eastAsia" w:ascii="仿宋_GB2312" w:hAnsi="仿宋_GB2312" w:eastAsia="仿宋_GB2312" w:cs="仿宋_GB2312"/>
          <w:color w:val="FF0000"/>
          <w:sz w:val="32"/>
          <w:szCs w:val="32"/>
        </w:rPr>
        <w:t>评分指标体系，明确运作机制、指标定义及评分方法等。</w:t>
      </w:r>
    </w:p>
    <w:p>
      <w:pPr>
        <w:ind w:firstLine="688" w:firstLineChars="200"/>
        <w:rPr>
          <w:rFonts w:ascii="仿宋_GB2312" w:hAnsi="仿宋_GB2312" w:eastAsia="仿宋_GB2312" w:cs="Times New Roman"/>
          <w:spacing w:val="8"/>
          <w:kern w:val="0"/>
          <w:sz w:val="32"/>
          <w:szCs w:val="32"/>
        </w:rPr>
      </w:pPr>
      <w:r>
        <w:rPr>
          <w:rFonts w:ascii="仿宋_GB2312" w:hAnsi="仿宋_GB2312" w:eastAsia="仿宋_GB2312" w:cs="Times New Roman"/>
          <w:spacing w:val="12"/>
          <w:kern w:val="0"/>
          <w:sz w:val="32"/>
          <w:szCs w:val="32"/>
        </w:rPr>
        <w:t>根据中共中央《关于深化人才发展体制机制改革的意见》（中发〔2016〕9号）和中共广东省委办公厅 广东省人民政府办公厅印发《关于加快人力资源服务产业发展的意见》《广东省分类推进人才评价机制改革实施方案》的通知（粤办发〔2018〕129号）文件精神，结合我市实际情况，</w:t>
      </w:r>
      <w:r>
        <w:rPr>
          <w:rFonts w:ascii="仿宋_GB2312" w:hAnsi="仿宋_GB2312" w:eastAsia="仿宋_GB2312" w:cs="Times New Roman"/>
          <w:spacing w:val="8"/>
          <w:kern w:val="0"/>
          <w:sz w:val="32"/>
          <w:szCs w:val="32"/>
        </w:rPr>
        <w:t>对不符合《关于进一步加快培养引进紧缺适用人才的意见》（中委〔2010〕7号）、《中山市紧缺适用人才认定暂行办法》（中委组通〔2011〕13号）和《关于进一步集聚创新创业人才的若干意见》（中山发〔2017〕2号）中所列七个层次认定标准的，但综合素质和能力业绩突出的企业或机构的专业人才，可以通过《人才评定体系》申请评定第五至第八层次人才。</w:t>
      </w:r>
    </w:p>
    <w:p>
      <w:pPr>
        <w:pStyle w:val="9"/>
        <w:numPr>
          <w:ilvl w:val="0"/>
          <w:numId w:val="1"/>
        </w:numPr>
        <w:ind w:firstLineChars="0"/>
        <w:rPr>
          <w:rFonts w:ascii="黑体" w:hAnsi="黑体" w:eastAsia="黑体" w:cs="Times New Roman"/>
          <w:spacing w:val="8"/>
          <w:kern w:val="0"/>
          <w:sz w:val="32"/>
          <w:szCs w:val="32"/>
        </w:rPr>
      </w:pPr>
      <w:r>
        <w:rPr>
          <w:rFonts w:ascii="黑体" w:hAnsi="黑体" w:eastAsia="黑体" w:cs="Times New Roman"/>
          <w:spacing w:val="8"/>
          <w:kern w:val="0"/>
          <w:sz w:val="32"/>
          <w:szCs w:val="32"/>
        </w:rPr>
        <w:t>修订</w:t>
      </w:r>
      <w:r>
        <w:rPr>
          <w:rFonts w:hint="eastAsia" w:ascii="黑体" w:hAnsi="黑体" w:eastAsia="黑体" w:cs="Times New Roman"/>
          <w:spacing w:val="8"/>
          <w:kern w:val="0"/>
          <w:sz w:val="32"/>
          <w:szCs w:val="32"/>
          <w:lang w:eastAsia="zh-CN"/>
        </w:rPr>
        <w:t>工作开展情况</w:t>
      </w:r>
    </w:p>
    <w:p>
      <w:pPr>
        <w:ind w:firstLine="672" w:firstLineChars="200"/>
        <w:rPr>
          <w:rFonts w:ascii="仿宋_GB2312" w:hAnsi="仿宋_GB2312" w:eastAsia="仿宋_GB2312" w:cs="Times New Roman"/>
          <w:spacing w:val="8"/>
          <w:kern w:val="0"/>
          <w:sz w:val="32"/>
          <w:szCs w:val="32"/>
        </w:rPr>
      </w:pPr>
      <w:r>
        <w:rPr>
          <w:rFonts w:hint="eastAsia" w:ascii="仿宋_GB2312" w:hAnsi="仿宋_GB2312" w:eastAsia="仿宋_GB2312" w:cs="Times New Roman"/>
          <w:color w:val="FF0000"/>
          <w:spacing w:val="8"/>
          <w:kern w:val="0"/>
          <w:sz w:val="32"/>
          <w:szCs w:val="32"/>
          <w:lang w:eastAsia="zh-CN"/>
        </w:rPr>
        <w:t>课题组</w:t>
      </w:r>
      <w:r>
        <w:rPr>
          <w:rFonts w:hint="eastAsia" w:ascii="仿宋_GB2312" w:hAnsi="宋体" w:eastAsia="仿宋_GB2312" w:cs="宋体"/>
          <w:color w:val="FF0000"/>
          <w:kern w:val="0"/>
          <w:sz w:val="32"/>
          <w:szCs w:val="32"/>
          <w:lang w:eastAsia="zh-CN"/>
        </w:rPr>
        <w:t>通过</w:t>
      </w:r>
      <w:r>
        <w:rPr>
          <w:rFonts w:hint="eastAsia" w:ascii="仿宋_GB2312" w:hAnsi="仿宋_GB2312" w:eastAsia="仿宋_GB2312" w:cs="仿宋_GB2312"/>
          <w:color w:val="FF0000"/>
          <w:sz w:val="32"/>
          <w:szCs w:val="32"/>
        </w:rPr>
        <w:t>发放调查问卷</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召开调研座谈会</w:t>
      </w:r>
      <w:r>
        <w:rPr>
          <w:rFonts w:hint="eastAsia" w:ascii="仿宋_GB2312" w:hAnsi="仿宋_GB2312" w:eastAsia="仿宋_GB2312" w:cs="仿宋_GB2312"/>
          <w:color w:val="FF0000"/>
          <w:sz w:val="32"/>
          <w:szCs w:val="32"/>
          <w:lang w:eastAsia="zh-CN"/>
        </w:rPr>
        <w:t>以及与</w:t>
      </w:r>
      <w:r>
        <w:rPr>
          <w:rFonts w:hint="eastAsia" w:ascii="仿宋_GB2312" w:hAnsi="仿宋_GB2312" w:eastAsia="仿宋_GB2312" w:cs="仿宋_GB2312"/>
          <w:color w:val="FF0000"/>
          <w:sz w:val="32"/>
          <w:szCs w:val="32"/>
        </w:rPr>
        <w:t>珠三角地区政策对比</w:t>
      </w:r>
      <w:r>
        <w:rPr>
          <w:rFonts w:hint="eastAsia" w:ascii="仿宋_GB2312" w:hAnsi="仿宋_GB2312" w:eastAsia="仿宋_GB2312" w:cs="仿宋_GB2312"/>
          <w:color w:val="FF0000"/>
          <w:sz w:val="32"/>
          <w:szCs w:val="32"/>
          <w:lang w:eastAsia="zh-CN"/>
        </w:rPr>
        <w:t>等方式开展调研工作，</w:t>
      </w:r>
      <w:r>
        <w:rPr>
          <w:rFonts w:hint="eastAsia" w:ascii="仿宋_GB2312" w:hAnsi="仿宋_GB2312" w:eastAsia="仿宋_GB2312" w:cs="仿宋_GB2312"/>
          <w:color w:val="FF0000"/>
          <w:sz w:val="32"/>
          <w:szCs w:val="32"/>
        </w:rPr>
        <w:t>优化评定政策条款，提高我市人才评定工作区位竞争力。</w:t>
      </w:r>
      <w:r>
        <w:rPr>
          <w:rFonts w:ascii="仿宋_GB2312" w:hAnsi="仿宋_GB2312" w:eastAsia="仿宋_GB2312" w:cs="Times New Roman"/>
          <w:spacing w:val="8"/>
          <w:kern w:val="0"/>
          <w:sz w:val="32"/>
          <w:szCs w:val="32"/>
        </w:rPr>
        <w:t>对《人才评定体系》作出如下修订：</w:t>
      </w:r>
    </w:p>
    <w:p>
      <w:pPr>
        <w:pStyle w:val="9"/>
        <w:numPr>
          <w:ilvl w:val="1"/>
          <w:numId w:val="2"/>
        </w:numPr>
        <w:ind w:left="569" w:leftChars="271" w:firstLineChars="0"/>
        <w:rPr>
          <w:rFonts w:ascii="仿宋_GB2312" w:hAnsi="仿宋_GB2312" w:eastAsia="仿宋_GB2312" w:cs="Times New Roman"/>
          <w:b/>
          <w:bCs/>
          <w:sz w:val="32"/>
          <w:szCs w:val="32"/>
        </w:rPr>
      </w:pPr>
      <w:r>
        <w:rPr>
          <w:rFonts w:ascii="仿宋_GB2312" w:hAnsi="仿宋_GB2312" w:eastAsia="仿宋_GB2312" w:cs="Times New Roman"/>
          <w:b/>
          <w:bCs/>
          <w:sz w:val="32"/>
          <w:szCs w:val="32"/>
        </w:rPr>
        <w:t>分产业设计评定</w:t>
      </w:r>
      <w:r>
        <w:rPr>
          <w:rFonts w:hint="eastAsia" w:ascii="仿宋_GB2312" w:hAnsi="仿宋_GB2312" w:eastAsia="仿宋_GB2312" w:cs="Times New Roman"/>
          <w:b/>
          <w:bCs/>
          <w:sz w:val="32"/>
          <w:szCs w:val="32"/>
        </w:rPr>
        <w:t>指标</w:t>
      </w:r>
      <w:r>
        <w:rPr>
          <w:rFonts w:ascii="仿宋_GB2312" w:hAnsi="仿宋_GB2312" w:eastAsia="仿宋_GB2312" w:cs="Times New Roman"/>
          <w:b/>
          <w:bCs/>
          <w:sz w:val="32"/>
          <w:szCs w:val="32"/>
        </w:rPr>
        <w:t xml:space="preserve">体系  </w:t>
      </w:r>
    </w:p>
    <w:p>
      <w:pPr>
        <w:ind w:firstLine="645"/>
        <w:rPr>
          <w:rFonts w:ascii="仿宋_GB2312" w:hAnsi="仿宋_GB2312" w:eastAsia="仿宋_GB2312" w:cs="Times New Roman"/>
          <w:sz w:val="32"/>
          <w:szCs w:val="32"/>
        </w:rPr>
      </w:pPr>
      <w:r>
        <w:rPr>
          <w:rFonts w:ascii="仿宋_GB2312" w:hAnsi="仿宋_GB2312" w:eastAsia="仿宋_GB2312" w:cs="Times New Roman"/>
          <w:sz w:val="32"/>
          <w:szCs w:val="32"/>
        </w:rPr>
        <w:t>根据不同行业类型的特点调整了指标体系，结合《国民经济行业分类》（GB/T4754-2017），以及统计部门对规上企业的分类方法，</w:t>
      </w:r>
      <w:r>
        <w:rPr>
          <w:rFonts w:hint="eastAsia" w:ascii="仿宋_GB2312" w:hAnsi="仿宋_GB2312" w:eastAsia="仿宋_GB2312" w:cs="Times New Roman"/>
          <w:sz w:val="32"/>
          <w:szCs w:val="32"/>
          <w:lang w:eastAsia="zh-CN"/>
        </w:rPr>
        <w:t>根据不同产业对人才的评价特点，</w:t>
      </w:r>
      <w:r>
        <w:rPr>
          <w:rFonts w:ascii="仿宋_GB2312" w:hAnsi="仿宋_GB2312" w:eastAsia="仿宋_GB2312" w:cs="Times New Roman"/>
          <w:sz w:val="32"/>
          <w:szCs w:val="32"/>
        </w:rPr>
        <w:t>将原《人才评定体系》一分为二，体系</w:t>
      </w:r>
      <w:r>
        <w:rPr>
          <w:rFonts w:hint="eastAsia" w:ascii="仿宋_GB2312" w:hAnsi="仿宋_GB2312" w:eastAsia="仿宋_GB2312" w:cs="Times New Roman"/>
          <w:sz w:val="32"/>
          <w:szCs w:val="32"/>
          <w:lang w:eastAsia="zh-CN"/>
        </w:rPr>
        <w:t>总表</w:t>
      </w:r>
      <w:r>
        <w:rPr>
          <w:rFonts w:ascii="仿宋_GB2312" w:hAnsi="仿宋_GB2312" w:eastAsia="仿宋_GB2312" w:cs="Times New Roman"/>
          <w:sz w:val="32"/>
          <w:szCs w:val="32"/>
        </w:rPr>
        <w:t>I适用于第一第二产业，体系</w:t>
      </w:r>
      <w:r>
        <w:rPr>
          <w:rFonts w:hint="eastAsia" w:ascii="仿宋_GB2312" w:hAnsi="仿宋_GB2312" w:eastAsia="仿宋_GB2312" w:cs="Times New Roman"/>
          <w:sz w:val="32"/>
          <w:szCs w:val="32"/>
          <w:lang w:eastAsia="zh-CN"/>
        </w:rPr>
        <w:t>总表</w:t>
      </w:r>
      <w:r>
        <w:rPr>
          <w:rFonts w:ascii="仿宋_GB2312" w:hAnsi="仿宋_GB2312" w:eastAsia="仿宋_GB2312" w:cs="Times New Roman"/>
          <w:sz w:val="32"/>
          <w:szCs w:val="32"/>
        </w:rPr>
        <w:t>II适用于第三产业，</w:t>
      </w:r>
      <w:r>
        <w:rPr>
          <w:rFonts w:hint="eastAsia" w:ascii="仿宋_GB2312" w:hAnsi="仿宋_GB2312" w:eastAsia="仿宋_GB2312" w:cs="Times New Roman"/>
          <w:color w:val="FF0000"/>
          <w:sz w:val="32"/>
          <w:szCs w:val="32"/>
          <w:lang w:eastAsia="zh-CN"/>
        </w:rPr>
        <w:t>通过设置</w:t>
      </w:r>
      <w:r>
        <w:rPr>
          <w:rFonts w:ascii="仿宋_GB2312" w:hAnsi="仿宋_GB2312" w:eastAsia="仿宋_GB2312" w:cs="Times New Roman"/>
          <w:color w:val="FF0000"/>
          <w:sz w:val="32"/>
          <w:szCs w:val="32"/>
        </w:rPr>
        <w:t>指标权重</w:t>
      </w:r>
      <w:r>
        <w:rPr>
          <w:rFonts w:hint="eastAsia" w:ascii="仿宋_GB2312" w:hAnsi="仿宋_GB2312" w:eastAsia="仿宋_GB2312" w:cs="Times New Roman"/>
          <w:color w:val="FF0000"/>
          <w:sz w:val="32"/>
          <w:szCs w:val="32"/>
          <w:lang w:eastAsia="zh-CN"/>
        </w:rPr>
        <w:t>方式，更科学合理进行人才评价</w:t>
      </w:r>
      <w:r>
        <w:rPr>
          <w:rFonts w:ascii="仿宋_GB2312" w:hAnsi="仿宋_GB2312" w:eastAsia="仿宋_GB2312" w:cs="Times New Roman"/>
          <w:color w:val="FF0000"/>
          <w:sz w:val="32"/>
          <w:szCs w:val="32"/>
        </w:rPr>
        <w:t>。</w:t>
      </w:r>
    </w:p>
    <w:p>
      <w:pPr>
        <w:ind w:firstLine="645"/>
        <w:rPr>
          <w:rFonts w:ascii="仿宋_GB2312" w:hAnsi="仿宋_GB2312" w:eastAsia="仿宋_GB2312" w:cs="Times New Roman"/>
          <w:b/>
          <w:bCs/>
          <w:sz w:val="32"/>
          <w:szCs w:val="32"/>
        </w:rPr>
      </w:pPr>
      <w:r>
        <w:rPr>
          <w:rFonts w:ascii="仿宋_GB2312" w:hAnsi="仿宋_GB2312" w:eastAsia="仿宋_GB2312" w:cs="Times New Roman"/>
          <w:b/>
          <w:bCs/>
          <w:sz w:val="32"/>
          <w:szCs w:val="32"/>
        </w:rPr>
        <w:t>（二）按人才类型设置指标权重</w:t>
      </w:r>
    </w:p>
    <w:p>
      <w:pPr>
        <w:ind w:left="61" w:leftChars="29"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同一个行业的不同岗位、不同类型人才，在评价其表现时侧重点会有所不同。</w:t>
      </w:r>
      <w:r>
        <w:rPr>
          <w:rFonts w:hint="eastAsia" w:ascii="仿宋_GB2312" w:hAnsi="仿宋_GB2312" w:eastAsia="仿宋_GB2312" w:cs="Times New Roman"/>
          <w:sz w:val="32"/>
          <w:szCs w:val="32"/>
        </w:rPr>
        <w:t>本次修订</w:t>
      </w:r>
      <w:r>
        <w:rPr>
          <w:rFonts w:ascii="仿宋_GB2312" w:hAnsi="仿宋_GB2312" w:eastAsia="仿宋_GB2312" w:cs="Times New Roman"/>
          <w:sz w:val="32"/>
          <w:szCs w:val="32"/>
        </w:rPr>
        <w:t>根据中共广东省委办公厅印发《广东省分类推进人才评价机制改革的实施方案》，积极推进重点领域人才分类评价改革，将人才分为经营管理类、专业技术类、专业技能类三类，并根据三类人才的</w:t>
      </w:r>
      <w:r>
        <w:rPr>
          <w:rFonts w:hint="eastAsia" w:ascii="仿宋_GB2312" w:hAnsi="仿宋_GB2312" w:eastAsia="仿宋_GB2312" w:cs="Times New Roman"/>
          <w:sz w:val="32"/>
          <w:szCs w:val="32"/>
          <w:lang w:eastAsia="zh-CN"/>
        </w:rPr>
        <w:t>专长</w:t>
      </w:r>
      <w:r>
        <w:rPr>
          <w:rFonts w:ascii="仿宋_GB2312" w:hAnsi="仿宋_GB2312" w:eastAsia="仿宋_GB2312" w:cs="Times New Roman"/>
          <w:sz w:val="32"/>
          <w:szCs w:val="32"/>
        </w:rPr>
        <w:t>特点</w:t>
      </w:r>
      <w:r>
        <w:rPr>
          <w:rFonts w:hint="eastAsia" w:ascii="仿宋_GB2312" w:hAnsi="仿宋_GB2312" w:eastAsia="仿宋_GB2312" w:cs="Times New Roman"/>
          <w:sz w:val="32"/>
          <w:szCs w:val="32"/>
          <w:lang w:eastAsia="zh-CN"/>
        </w:rPr>
        <w:t>和能力特点，</w:t>
      </w:r>
      <w:r>
        <w:rPr>
          <w:rFonts w:ascii="仿宋_GB2312" w:hAnsi="仿宋_GB2312" w:eastAsia="仿宋_GB2312" w:cs="Times New Roman"/>
          <w:sz w:val="32"/>
          <w:szCs w:val="32"/>
        </w:rPr>
        <w:t>设置不同的指标权重。</w:t>
      </w:r>
    </w:p>
    <w:p>
      <w:pPr>
        <w:ind w:left="61" w:leftChars="29" w:firstLine="643" w:firstLineChars="200"/>
        <w:rPr>
          <w:rFonts w:ascii="仿宋_GB2312" w:hAnsi="仿宋_GB2312" w:eastAsia="仿宋_GB2312" w:cs="Times New Roman"/>
          <w:b/>
          <w:bCs/>
          <w:sz w:val="32"/>
          <w:szCs w:val="32"/>
        </w:rPr>
      </w:pPr>
      <w:r>
        <w:rPr>
          <w:rFonts w:ascii="仿宋_GB2312" w:hAnsi="仿宋_GB2312" w:eastAsia="仿宋_GB2312" w:cs="Times New Roman"/>
          <w:b/>
          <w:bCs/>
          <w:sz w:val="32"/>
          <w:szCs w:val="32"/>
        </w:rPr>
        <w:t>（三）调整指标设置</w:t>
      </w:r>
    </w:p>
    <w:p>
      <w:pPr>
        <w:ind w:left="4" w:leftChars="2"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为保证《人才评定体系》项目的有效性，兼顾不同行业、不同类型人才的共性与特点，对《人才评定体系》指标体系进行了优化调整</w:t>
      </w:r>
      <w:r>
        <w:rPr>
          <w:rFonts w:hint="eastAsia" w:ascii="仿宋_GB2312" w:hAnsi="仿宋_GB2312" w:eastAsia="仿宋_GB2312" w:cs="Times New Roman"/>
          <w:sz w:val="32"/>
          <w:szCs w:val="32"/>
        </w:rPr>
        <w:t>：五个一级指标中</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按</w:t>
      </w:r>
      <w:r>
        <w:rPr>
          <w:rFonts w:ascii="仿宋_GB2312" w:hAnsi="仿宋_GB2312" w:eastAsia="仿宋_GB2312" w:cs="Times New Roman"/>
          <w:sz w:val="32"/>
          <w:szCs w:val="32"/>
        </w:rPr>
        <w:t>“基本要素”“需求匹配”“业绩评价”“专家评审”</w:t>
      </w:r>
      <w:r>
        <w:rPr>
          <w:rFonts w:hint="eastAsia" w:ascii="仿宋_GB2312" w:hAnsi="仿宋_GB2312" w:eastAsia="仿宋_GB2312" w:cs="Times New Roman"/>
          <w:sz w:val="32"/>
          <w:szCs w:val="32"/>
        </w:rPr>
        <w:t>四个内容设置通用指标，</w:t>
      </w:r>
      <w:r>
        <w:rPr>
          <w:rFonts w:ascii="仿宋_GB2312" w:hAnsi="仿宋_GB2312" w:eastAsia="仿宋_GB2312" w:cs="Times New Roman"/>
          <w:sz w:val="32"/>
          <w:szCs w:val="32"/>
        </w:rPr>
        <w:t>适用于所有类型人才；</w:t>
      </w:r>
      <w:r>
        <w:rPr>
          <w:rFonts w:hint="eastAsia" w:ascii="仿宋_GB2312" w:hAnsi="仿宋_GB2312" w:eastAsia="仿宋_GB2312" w:cs="Times New Roman"/>
          <w:sz w:val="32"/>
          <w:szCs w:val="32"/>
        </w:rPr>
        <w:t>突出“专业能力”这一</w:t>
      </w:r>
      <w:r>
        <w:rPr>
          <w:rFonts w:ascii="仿宋_GB2312" w:hAnsi="仿宋_GB2312" w:eastAsia="仿宋_GB2312" w:cs="Times New Roman"/>
          <w:sz w:val="32"/>
          <w:szCs w:val="32"/>
        </w:rPr>
        <w:t>特色指标，</w:t>
      </w:r>
      <w:r>
        <w:rPr>
          <w:rFonts w:hint="eastAsia" w:ascii="仿宋_GB2312" w:hAnsi="仿宋_GB2312" w:eastAsia="仿宋_GB2312" w:cs="Times New Roman"/>
          <w:sz w:val="32"/>
          <w:szCs w:val="32"/>
        </w:rPr>
        <w:t>以</w:t>
      </w:r>
      <w:r>
        <w:rPr>
          <w:rFonts w:ascii="仿宋_GB2312" w:hAnsi="仿宋_GB2312" w:eastAsia="仿宋_GB2312" w:cs="Times New Roman"/>
          <w:sz w:val="32"/>
          <w:szCs w:val="32"/>
        </w:rPr>
        <w:t>匹配不同类型人才</w:t>
      </w:r>
      <w:r>
        <w:rPr>
          <w:rFonts w:hint="eastAsia" w:ascii="仿宋_GB2312" w:hAnsi="仿宋_GB2312" w:eastAsia="仿宋_GB2312" w:cs="Times New Roman"/>
          <w:sz w:val="32"/>
          <w:szCs w:val="32"/>
        </w:rPr>
        <w:t>评价。</w:t>
      </w:r>
    </w:p>
    <w:p>
      <w:pPr>
        <w:ind w:left="4" w:leftChars="2" w:firstLine="640" w:firstLineChars="200"/>
        <w:rPr>
          <w:rFonts w:ascii="仿宋_GB2312" w:hAnsi="仿宋_GB2312" w:eastAsia="仿宋_GB2312" w:cs="Times New Roman"/>
          <w:sz w:val="32"/>
          <w:szCs w:val="32"/>
        </w:rPr>
      </w:pPr>
    </w:p>
    <w:tbl>
      <w:tblPr>
        <w:tblStyle w:val="8"/>
        <w:tblW w:w="8320" w:type="dxa"/>
        <w:tblInd w:w="0" w:type="dxa"/>
        <w:tblLayout w:type="fixed"/>
        <w:tblCellMar>
          <w:top w:w="0" w:type="dxa"/>
          <w:left w:w="108" w:type="dxa"/>
          <w:bottom w:w="0" w:type="dxa"/>
          <w:right w:w="108" w:type="dxa"/>
        </w:tblCellMar>
      </w:tblPr>
      <w:tblGrid>
        <w:gridCol w:w="820"/>
        <w:gridCol w:w="1727"/>
        <w:gridCol w:w="2353"/>
        <w:gridCol w:w="3420"/>
      </w:tblGrid>
      <w:tr>
        <w:tblPrEx>
          <w:tblLayout w:type="fixed"/>
          <w:tblCellMar>
            <w:top w:w="0" w:type="dxa"/>
            <w:left w:w="108" w:type="dxa"/>
            <w:bottom w:w="0" w:type="dxa"/>
            <w:right w:w="108" w:type="dxa"/>
          </w:tblCellMar>
        </w:tblPrEx>
        <w:trPr>
          <w:trHeight w:val="705" w:hRule="atLeast"/>
        </w:trPr>
        <w:tc>
          <w:tcPr>
            <w:tcW w:w="83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30"/>
                <w:szCs w:val="30"/>
              </w:rPr>
            </w:pPr>
            <w:r>
              <w:rPr>
                <w:rFonts w:ascii="仿宋_GB2312" w:hAnsi="仿宋_GB2312" w:eastAsia="仿宋_GB2312" w:cs="Times New Roman"/>
                <w:kern w:val="0"/>
                <w:sz w:val="30"/>
                <w:szCs w:val="30"/>
              </w:rPr>
              <w:t>中山市企业紧缺适用高层次人才评价</w:t>
            </w:r>
            <w:r>
              <w:rPr>
                <w:rFonts w:hint="eastAsia" w:ascii="仿宋_GB2312" w:hAnsi="仿宋_GB2312" w:eastAsia="仿宋_GB2312" w:cs="Times New Roman"/>
                <w:kern w:val="0"/>
                <w:sz w:val="30"/>
                <w:szCs w:val="30"/>
              </w:rPr>
              <w:t>体系三级指标内容</w:t>
            </w:r>
          </w:p>
        </w:tc>
      </w:tr>
      <w:tr>
        <w:tblPrEx>
          <w:tblLayout w:type="fixed"/>
          <w:tblCellMar>
            <w:top w:w="0" w:type="dxa"/>
            <w:left w:w="108" w:type="dxa"/>
            <w:bottom w:w="0" w:type="dxa"/>
            <w:right w:w="108" w:type="dxa"/>
          </w:tblCellMar>
        </w:tblPrEx>
        <w:trPr>
          <w:trHeight w:val="78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8"/>
                <w:szCs w:val="28"/>
              </w:rPr>
            </w:pPr>
            <w:r>
              <w:rPr>
                <w:rFonts w:ascii="仿宋_GB2312" w:hAnsi="仿宋_GB2312" w:eastAsia="仿宋_GB2312" w:cs="Times New Roman"/>
                <w:kern w:val="0"/>
                <w:sz w:val="28"/>
                <w:szCs w:val="28"/>
              </w:rPr>
              <w:t>序号</w:t>
            </w:r>
          </w:p>
        </w:tc>
        <w:tc>
          <w:tcPr>
            <w:tcW w:w="17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8"/>
                <w:szCs w:val="28"/>
              </w:rPr>
            </w:pPr>
            <w:r>
              <w:rPr>
                <w:rFonts w:ascii="仿宋_GB2312" w:hAnsi="仿宋_GB2312" w:eastAsia="仿宋_GB2312" w:cs="Times New Roman"/>
                <w:kern w:val="0"/>
                <w:sz w:val="28"/>
                <w:szCs w:val="28"/>
              </w:rPr>
              <w:t>一级指标</w:t>
            </w:r>
          </w:p>
        </w:tc>
        <w:tc>
          <w:tcPr>
            <w:tcW w:w="23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8"/>
                <w:szCs w:val="28"/>
              </w:rPr>
            </w:pPr>
            <w:r>
              <w:rPr>
                <w:rFonts w:ascii="仿宋_GB2312" w:hAnsi="仿宋_GB2312" w:eastAsia="仿宋_GB2312" w:cs="Times New Roman"/>
                <w:kern w:val="0"/>
                <w:sz w:val="28"/>
                <w:szCs w:val="28"/>
              </w:rPr>
              <w:t>二级指标</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8"/>
                <w:szCs w:val="28"/>
              </w:rPr>
            </w:pPr>
            <w:r>
              <w:rPr>
                <w:rFonts w:ascii="仿宋_GB2312" w:hAnsi="仿宋_GB2312" w:eastAsia="仿宋_GB2312" w:cs="Times New Roman"/>
                <w:kern w:val="0"/>
                <w:sz w:val="28"/>
                <w:szCs w:val="28"/>
              </w:rPr>
              <w:t>三级指标</w:t>
            </w:r>
          </w:p>
        </w:tc>
      </w:tr>
      <w:tr>
        <w:tblPrEx>
          <w:tblLayout w:type="fixed"/>
          <w:tblCellMar>
            <w:top w:w="0" w:type="dxa"/>
            <w:left w:w="108" w:type="dxa"/>
            <w:bottom w:w="0" w:type="dxa"/>
            <w:right w:w="108" w:type="dxa"/>
          </w:tblCellMar>
        </w:tblPrEx>
        <w:trPr>
          <w:trHeight w:val="639" w:hRule="atLeast"/>
        </w:trPr>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1</w:t>
            </w:r>
          </w:p>
        </w:tc>
        <w:tc>
          <w:tcPr>
            <w:tcW w:w="17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基本要素</w:t>
            </w:r>
          </w:p>
        </w:tc>
        <w:tc>
          <w:tcPr>
            <w:tcW w:w="235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学历或学位</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最高学历或学位</w:t>
            </w:r>
          </w:p>
        </w:tc>
      </w:tr>
      <w:tr>
        <w:tblPrEx>
          <w:tblLayout w:type="fixed"/>
          <w:tblCellMar>
            <w:top w:w="0" w:type="dxa"/>
            <w:left w:w="108" w:type="dxa"/>
            <w:bottom w:w="0" w:type="dxa"/>
            <w:right w:w="108" w:type="dxa"/>
          </w:tblCellMar>
        </w:tblPrEx>
        <w:trPr>
          <w:trHeight w:val="578"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vMerge w:val="restart"/>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工作经历</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从事现专业或行业工作年限</w:t>
            </w:r>
          </w:p>
        </w:tc>
      </w:tr>
      <w:tr>
        <w:tblPrEx>
          <w:tblLayout w:type="fixed"/>
          <w:tblCellMar>
            <w:top w:w="0" w:type="dxa"/>
            <w:left w:w="108" w:type="dxa"/>
            <w:bottom w:w="0" w:type="dxa"/>
            <w:right w:w="108" w:type="dxa"/>
          </w:tblCellMar>
        </w:tblPrEx>
        <w:trPr>
          <w:trHeight w:val="684"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Times New Roman"/>
                <w:kern w:val="0"/>
                <w:sz w:val="24"/>
                <w:szCs w:val="24"/>
              </w:rPr>
            </w:pP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任职企业情况</w:t>
            </w:r>
          </w:p>
        </w:tc>
      </w:tr>
      <w:tr>
        <w:tblPrEx>
          <w:tblLayout w:type="fixed"/>
          <w:tblCellMar>
            <w:top w:w="0" w:type="dxa"/>
            <w:left w:w="108" w:type="dxa"/>
            <w:bottom w:w="0" w:type="dxa"/>
            <w:right w:w="108" w:type="dxa"/>
          </w:tblCellMar>
        </w:tblPrEx>
        <w:trPr>
          <w:trHeight w:val="765"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资格</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专业技术资格或职业（执业）资格</w:t>
            </w:r>
          </w:p>
        </w:tc>
      </w:tr>
      <w:tr>
        <w:tblPrEx>
          <w:tblLayout w:type="fixed"/>
          <w:tblCellMar>
            <w:top w:w="0" w:type="dxa"/>
            <w:left w:w="108" w:type="dxa"/>
            <w:bottom w:w="0" w:type="dxa"/>
            <w:right w:w="108" w:type="dxa"/>
          </w:tblCellMar>
        </w:tblPrEx>
        <w:trPr>
          <w:trHeight w:val="765" w:hRule="atLeast"/>
        </w:trPr>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2</w:t>
            </w:r>
          </w:p>
        </w:tc>
        <w:tc>
          <w:tcPr>
            <w:tcW w:w="17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需求匹配</w:t>
            </w:r>
          </w:p>
        </w:tc>
        <w:tc>
          <w:tcPr>
            <w:tcW w:w="235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与中山人才需求契合度</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是否列入市人才导向目录</w:t>
            </w:r>
          </w:p>
        </w:tc>
      </w:tr>
      <w:tr>
        <w:tblPrEx>
          <w:tblLayout w:type="fixed"/>
          <w:tblCellMar>
            <w:top w:w="0" w:type="dxa"/>
            <w:left w:w="108" w:type="dxa"/>
            <w:bottom w:w="0" w:type="dxa"/>
            <w:right w:w="108" w:type="dxa"/>
          </w:tblCellMar>
        </w:tblPrEx>
        <w:trPr>
          <w:trHeight w:val="765"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专业岗位匹配度</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专业与岗位是否匹配</w:t>
            </w:r>
          </w:p>
        </w:tc>
      </w:tr>
      <w:tr>
        <w:tblPrEx>
          <w:tblLayout w:type="fixed"/>
          <w:tblCellMar>
            <w:top w:w="0" w:type="dxa"/>
            <w:left w:w="108" w:type="dxa"/>
            <w:bottom w:w="0" w:type="dxa"/>
            <w:right w:w="108" w:type="dxa"/>
          </w:tblCellMar>
        </w:tblPrEx>
        <w:trPr>
          <w:trHeight w:val="765" w:hRule="atLeast"/>
        </w:trPr>
        <w:tc>
          <w:tcPr>
            <w:tcW w:w="82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3</w:t>
            </w:r>
          </w:p>
        </w:tc>
        <w:tc>
          <w:tcPr>
            <w:tcW w:w="17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业绩评价</w:t>
            </w:r>
          </w:p>
        </w:tc>
        <w:tc>
          <w:tcPr>
            <w:tcW w:w="235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任职层次</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现担任职务及时间</w:t>
            </w:r>
          </w:p>
        </w:tc>
      </w:tr>
      <w:tr>
        <w:tblPrEx>
          <w:tblLayout w:type="fixed"/>
          <w:tblCellMar>
            <w:top w:w="0" w:type="dxa"/>
            <w:left w:w="108" w:type="dxa"/>
            <w:bottom w:w="0" w:type="dxa"/>
            <w:right w:w="108" w:type="dxa"/>
          </w:tblCellMar>
        </w:tblPrEx>
        <w:trPr>
          <w:trHeight w:val="765" w:hRule="atLeast"/>
        </w:trPr>
        <w:tc>
          <w:tcPr>
            <w:tcW w:w="820" w:type="dxa"/>
            <w:vMerge w:val="continue"/>
            <w:tcBorders>
              <w:top w:val="nil"/>
              <w:left w:val="single" w:color="auto" w:sz="4" w:space="0"/>
              <w:bottom w:val="nil"/>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个人所得税</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年累计纳税情况</w:t>
            </w:r>
          </w:p>
        </w:tc>
      </w:tr>
      <w:tr>
        <w:tblPrEx>
          <w:tblLayout w:type="fixed"/>
          <w:tblCellMar>
            <w:top w:w="0" w:type="dxa"/>
            <w:left w:w="108" w:type="dxa"/>
            <w:bottom w:w="0" w:type="dxa"/>
            <w:right w:w="108" w:type="dxa"/>
          </w:tblCellMar>
        </w:tblPrEx>
        <w:trPr>
          <w:trHeight w:val="765" w:hRule="atLeast"/>
        </w:trPr>
        <w:tc>
          <w:tcPr>
            <w:tcW w:w="820" w:type="dxa"/>
            <w:vMerge w:val="continue"/>
            <w:tcBorders>
              <w:top w:val="nil"/>
              <w:left w:val="single" w:color="auto" w:sz="4" w:space="0"/>
              <w:bottom w:val="nil"/>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vMerge w:val="restart"/>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政府（部门）或行业协会评价</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近5年的获奖情况</w:t>
            </w:r>
          </w:p>
        </w:tc>
      </w:tr>
      <w:tr>
        <w:tblPrEx>
          <w:tblLayout w:type="fixed"/>
          <w:tblCellMar>
            <w:top w:w="0" w:type="dxa"/>
            <w:left w:w="108" w:type="dxa"/>
            <w:bottom w:w="0" w:type="dxa"/>
            <w:right w:w="108" w:type="dxa"/>
          </w:tblCellMar>
        </w:tblPrEx>
        <w:trPr>
          <w:trHeight w:val="765" w:hRule="atLeast"/>
        </w:trPr>
        <w:tc>
          <w:tcPr>
            <w:tcW w:w="820" w:type="dxa"/>
            <w:vMerge w:val="continue"/>
            <w:tcBorders>
              <w:top w:val="nil"/>
              <w:left w:val="single" w:color="auto" w:sz="4" w:space="0"/>
              <w:bottom w:val="nil"/>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近5年所获荣誉称号</w:t>
            </w:r>
          </w:p>
        </w:tc>
      </w:tr>
      <w:tr>
        <w:tblPrEx>
          <w:tblLayout w:type="fixed"/>
          <w:tblCellMar>
            <w:top w:w="0" w:type="dxa"/>
            <w:left w:w="108" w:type="dxa"/>
            <w:bottom w:w="0" w:type="dxa"/>
            <w:right w:w="108" w:type="dxa"/>
          </w:tblCellMar>
        </w:tblPrEx>
        <w:trPr>
          <w:trHeight w:val="765" w:hRule="atLeast"/>
        </w:trPr>
        <w:tc>
          <w:tcPr>
            <w:tcW w:w="820" w:type="dxa"/>
            <w:vMerge w:val="continue"/>
            <w:tcBorders>
              <w:top w:val="nil"/>
              <w:left w:val="single" w:color="auto" w:sz="4" w:space="0"/>
              <w:bottom w:val="nil"/>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工作业绩</w:t>
            </w:r>
          </w:p>
        </w:tc>
        <w:tc>
          <w:tcPr>
            <w:tcW w:w="3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企业认可度</w:t>
            </w:r>
          </w:p>
        </w:tc>
      </w:tr>
      <w:tr>
        <w:tblPrEx>
          <w:tblLayout w:type="fixed"/>
          <w:tblCellMar>
            <w:top w:w="0" w:type="dxa"/>
            <w:left w:w="108" w:type="dxa"/>
            <w:bottom w:w="0" w:type="dxa"/>
            <w:right w:w="108" w:type="dxa"/>
          </w:tblCellMar>
        </w:tblPrEx>
        <w:trPr>
          <w:trHeight w:val="1812"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24"/>
                <w:szCs w:val="24"/>
              </w:rPr>
            </w:pP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近5年内所获得的与工作密切现骨干的发明创造、标准制定、学术研究等成果（不同项目的成果可以累计，本指标最高不超过10分）</w:t>
            </w:r>
          </w:p>
        </w:tc>
      </w:tr>
      <w:tr>
        <w:tblPrEx>
          <w:tblLayout w:type="fixed"/>
          <w:tblCellMar>
            <w:top w:w="0" w:type="dxa"/>
            <w:left w:w="108" w:type="dxa"/>
            <w:bottom w:w="0" w:type="dxa"/>
            <w:right w:w="108" w:type="dxa"/>
          </w:tblCellMar>
        </w:tblPrEx>
        <w:trPr>
          <w:trHeight w:val="690" w:hRule="atLeast"/>
        </w:trPr>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4</w:t>
            </w:r>
          </w:p>
        </w:tc>
        <w:tc>
          <w:tcPr>
            <w:tcW w:w="17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专业能力</w:t>
            </w:r>
          </w:p>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（特色指标）</w:t>
            </w:r>
          </w:p>
        </w:tc>
        <w:tc>
          <w:tcPr>
            <w:tcW w:w="23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专业能力和成果</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经营管理人才专业能力和成果</w:t>
            </w:r>
          </w:p>
        </w:tc>
      </w:tr>
      <w:tr>
        <w:tblPrEx>
          <w:tblLayout w:type="fixed"/>
          <w:tblCellMar>
            <w:top w:w="0" w:type="dxa"/>
            <w:left w:w="108" w:type="dxa"/>
            <w:bottom w:w="0" w:type="dxa"/>
            <w:right w:w="108" w:type="dxa"/>
          </w:tblCellMar>
        </w:tblPrEx>
        <w:trPr>
          <w:trHeight w:val="690" w:hRule="atLeast"/>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172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23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专业技术人才专业能力和成果</w:t>
            </w:r>
          </w:p>
        </w:tc>
      </w:tr>
      <w:tr>
        <w:tblPrEx>
          <w:tblLayout w:type="fixed"/>
          <w:tblCellMar>
            <w:top w:w="0" w:type="dxa"/>
            <w:left w:w="108" w:type="dxa"/>
            <w:bottom w:w="0" w:type="dxa"/>
            <w:right w:w="108" w:type="dxa"/>
          </w:tblCellMar>
        </w:tblPrEx>
        <w:trPr>
          <w:trHeight w:val="690" w:hRule="atLeast"/>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172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23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Times New Roman"/>
                <w:kern w:val="0"/>
                <w:sz w:val="24"/>
                <w:szCs w:val="24"/>
              </w:rPr>
            </w:pP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专业技能人才专业能力和成果</w:t>
            </w:r>
          </w:p>
        </w:tc>
      </w:tr>
      <w:tr>
        <w:tblPrEx>
          <w:tblLayout w:type="fixed"/>
          <w:tblCellMar>
            <w:top w:w="0" w:type="dxa"/>
            <w:left w:w="108" w:type="dxa"/>
            <w:bottom w:w="0" w:type="dxa"/>
            <w:right w:w="108" w:type="dxa"/>
          </w:tblCellMar>
        </w:tblPrEx>
        <w:trPr>
          <w:trHeight w:val="675"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5</w:t>
            </w:r>
          </w:p>
        </w:tc>
        <w:tc>
          <w:tcPr>
            <w:tcW w:w="75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专家评审</w:t>
            </w:r>
          </w:p>
        </w:tc>
      </w:tr>
      <w:tr>
        <w:tblPrEx>
          <w:tblLayout w:type="fixed"/>
          <w:tblCellMar>
            <w:top w:w="0" w:type="dxa"/>
            <w:left w:w="108" w:type="dxa"/>
            <w:bottom w:w="0" w:type="dxa"/>
            <w:right w:w="108" w:type="dxa"/>
          </w:tblCellMar>
        </w:tblPrEx>
        <w:trPr>
          <w:trHeight w:val="525" w:hRule="atLeast"/>
        </w:trPr>
        <w:tc>
          <w:tcPr>
            <w:tcW w:w="83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总分：</w:t>
            </w:r>
          </w:p>
        </w:tc>
      </w:tr>
    </w:tbl>
    <w:p>
      <w:pPr>
        <w:rPr>
          <w:rFonts w:ascii="仿宋_GB2312" w:hAnsi="仿宋_GB2312" w:eastAsia="仿宋_GB2312" w:cs="Times New Roman"/>
          <w:sz w:val="32"/>
          <w:szCs w:val="32"/>
        </w:rPr>
      </w:pPr>
    </w:p>
    <w:p>
      <w:pPr>
        <w:ind w:firstLine="643" w:firstLineChars="200"/>
        <w:rPr>
          <w:rFonts w:ascii="仿宋_GB2312" w:hAnsi="仿宋_GB2312" w:eastAsia="仿宋_GB2312" w:cs="Times New Roman"/>
          <w:b/>
          <w:bCs/>
          <w:sz w:val="32"/>
          <w:szCs w:val="32"/>
        </w:rPr>
      </w:pPr>
      <w:r>
        <w:rPr>
          <w:rFonts w:hint="eastAsia" w:ascii="仿宋_GB2312" w:hAnsi="仿宋_GB2312" w:eastAsia="仿宋_GB2312" w:cs="Times New Roman"/>
          <w:b/>
          <w:bCs/>
          <w:sz w:val="32"/>
          <w:szCs w:val="32"/>
        </w:rPr>
        <w:t>（四）</w:t>
      </w:r>
      <w:r>
        <w:rPr>
          <w:rFonts w:ascii="仿宋_GB2312" w:hAnsi="仿宋_GB2312" w:eastAsia="仿宋_GB2312" w:cs="Times New Roman"/>
          <w:b/>
          <w:bCs/>
          <w:sz w:val="32"/>
          <w:szCs w:val="32"/>
        </w:rPr>
        <w:t>调整计分方式</w:t>
      </w:r>
    </w:p>
    <w:p>
      <w:pPr>
        <w:pStyle w:val="9"/>
        <w:ind w:left="61" w:leftChars="29" w:firstLine="640"/>
        <w:rPr>
          <w:rFonts w:ascii="仿宋_GB2312" w:hAnsi="仿宋_GB2312" w:eastAsia="仿宋_GB2312" w:cs="Times New Roman"/>
          <w:sz w:val="32"/>
          <w:szCs w:val="32"/>
        </w:rPr>
      </w:pPr>
      <w:r>
        <w:rPr>
          <w:rFonts w:hint="eastAsia" w:ascii="仿宋_GB2312" w:hAnsi="仿宋_GB2312" w:eastAsia="仿宋_GB2312" w:cs="Times New Roman"/>
          <w:sz w:val="32"/>
          <w:szCs w:val="32"/>
        </w:rPr>
        <w:t>为对参评人才综合实力进行更为客观科学合理的评价</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本次修订</w:t>
      </w:r>
      <w:r>
        <w:rPr>
          <w:rFonts w:ascii="仿宋_GB2312" w:hAnsi="仿宋_GB2312" w:eastAsia="仿宋_GB2312" w:cs="Times New Roman"/>
          <w:sz w:val="32"/>
          <w:szCs w:val="32"/>
        </w:rPr>
        <w:t>针对不同行业、不同</w:t>
      </w:r>
      <w:r>
        <w:rPr>
          <w:rFonts w:hint="eastAsia" w:ascii="仿宋_GB2312" w:hAnsi="仿宋_GB2312" w:eastAsia="仿宋_GB2312" w:cs="Times New Roman"/>
          <w:sz w:val="32"/>
          <w:szCs w:val="32"/>
        </w:rPr>
        <w:t>层级</w:t>
      </w:r>
      <w:r>
        <w:rPr>
          <w:rStyle w:val="7"/>
          <w:rFonts w:ascii="仿宋_GB2312" w:hAnsi="仿宋_GB2312" w:eastAsia="仿宋_GB2312" w:cs="Times New Roman"/>
          <w:sz w:val="32"/>
          <w:szCs w:val="32"/>
        </w:rPr>
        <w:footnoteReference w:id="0"/>
      </w:r>
      <w:r>
        <w:rPr>
          <w:rFonts w:ascii="仿宋_GB2312" w:hAnsi="仿宋_GB2312" w:eastAsia="仿宋_GB2312" w:cs="Times New Roman"/>
          <w:sz w:val="32"/>
          <w:szCs w:val="32"/>
        </w:rPr>
        <w:t>、不同</w:t>
      </w:r>
      <w:r>
        <w:rPr>
          <w:rFonts w:hint="eastAsia" w:ascii="仿宋_GB2312" w:hAnsi="仿宋_GB2312" w:eastAsia="仿宋_GB2312" w:cs="Times New Roman"/>
          <w:sz w:val="32"/>
          <w:szCs w:val="32"/>
        </w:rPr>
        <w:t>类别</w:t>
      </w:r>
      <w:r>
        <w:rPr>
          <w:rStyle w:val="7"/>
          <w:rFonts w:ascii="仿宋_GB2312" w:hAnsi="仿宋_GB2312" w:eastAsia="仿宋_GB2312" w:cs="Times New Roman"/>
          <w:sz w:val="32"/>
          <w:szCs w:val="32"/>
        </w:rPr>
        <w:footnoteReference w:id="1"/>
      </w:r>
      <w:r>
        <w:rPr>
          <w:rFonts w:ascii="仿宋_GB2312" w:hAnsi="仿宋_GB2312" w:eastAsia="仿宋_GB2312" w:cs="Times New Roman"/>
          <w:sz w:val="32"/>
          <w:szCs w:val="32"/>
        </w:rPr>
        <w:t>的人才设置不同的指标权重。为此，在指标体系中设置“权重区”和“打分区”，每一项指标最终得分的换算公式如下：</w:t>
      </w:r>
    </w:p>
    <w:p>
      <w:pPr>
        <w:spacing w:line="960" w:lineRule="auto"/>
        <w:jc w:val="center"/>
        <w:rPr>
          <w:rFonts w:ascii="仿宋_GB2312" w:hAnsi="仿宋_GB2312" w:eastAsia="仿宋_GB2312" w:cs="Times New Roman"/>
          <w:b/>
          <w:bCs/>
          <w:sz w:val="32"/>
          <w:szCs w:val="32"/>
        </w:rPr>
      </w:pPr>
      <w:r>
        <w:rPr>
          <w:rFonts w:ascii="仿宋_GB2312" w:hAnsi="仿宋_GB2312" w:eastAsia="仿宋_GB2312" w:cs="Times New Roman"/>
          <w:b/>
          <w:bCs/>
          <w:sz w:val="32"/>
          <w:szCs w:val="32"/>
        </w:rPr>
        <w:t>换算分数=专家打分</w:t>
      </w:r>
      <w:r>
        <w:rPr>
          <w:rFonts w:ascii="Segoe UI Emoji" w:hAnsi="Segoe UI Emoji" w:eastAsia="仿宋_GB2312" w:cs="Segoe UI Emoji"/>
          <w:b/>
          <w:bCs/>
          <w:sz w:val="32"/>
          <w:szCs w:val="32"/>
        </w:rPr>
        <w:t>✖</w:t>
      </w:r>
      <w:r>
        <w:rPr>
          <w:rFonts w:hint="eastAsia" w:ascii="仿宋_GB2312" w:hAnsi="仿宋_GB2312" w:eastAsia="仿宋_GB2312" w:cs="Times New Roman"/>
          <w:b/>
          <w:bCs/>
          <w:sz w:val="32"/>
          <w:szCs w:val="32"/>
        </w:rPr>
        <w:t>指</w:t>
      </w:r>
      <w:r>
        <w:rPr>
          <w:rFonts w:ascii="仿宋_GB2312" w:hAnsi="仿宋_GB2312" w:eastAsia="仿宋_GB2312" w:cs="Times New Roman"/>
          <w:b/>
          <w:bCs/>
          <w:sz w:val="32"/>
          <w:szCs w:val="32"/>
        </w:rPr>
        <w:t>标权重</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新旧指标调整对比</w:t>
      </w:r>
    </w:p>
    <w:p>
      <w:pPr>
        <w:ind w:firstLine="643" w:firstLineChars="200"/>
        <w:rPr>
          <w:rFonts w:ascii="仿宋_GB2312" w:hAnsi="仿宋_GB2312" w:eastAsia="仿宋_GB2312" w:cs="Times New Roman"/>
          <w:b/>
          <w:bCs/>
          <w:sz w:val="32"/>
          <w:szCs w:val="32"/>
        </w:rPr>
      </w:pPr>
      <w:r>
        <w:rPr>
          <w:rFonts w:hint="eastAsia" w:ascii="仿宋_GB2312" w:hAnsi="仿宋_GB2312" w:eastAsia="仿宋_GB2312" w:cs="Times New Roman"/>
          <w:b/>
          <w:bCs/>
          <w:sz w:val="32"/>
          <w:szCs w:val="32"/>
        </w:rPr>
        <w:t>（一）</w:t>
      </w:r>
      <w:r>
        <w:rPr>
          <w:rFonts w:ascii="仿宋_GB2312" w:hAnsi="仿宋_GB2312" w:eastAsia="仿宋_GB2312" w:cs="Times New Roman"/>
          <w:b/>
          <w:bCs/>
          <w:sz w:val="32"/>
          <w:szCs w:val="32"/>
        </w:rPr>
        <w:t>新增指标</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w:t>
      </w:r>
      <w:r>
        <w:rPr>
          <w:rFonts w:ascii="仿宋_GB2312" w:hAnsi="仿宋_GB2312" w:eastAsia="仿宋_GB2312" w:cs="Times New Roman"/>
          <w:sz w:val="32"/>
          <w:szCs w:val="32"/>
        </w:rPr>
        <w:t>. 新增一级</w:t>
      </w:r>
      <w:r>
        <w:rPr>
          <w:rFonts w:hint="eastAsia" w:ascii="仿宋_GB2312" w:hAnsi="仿宋_GB2312" w:eastAsia="仿宋_GB2312" w:cs="Times New Roman"/>
          <w:sz w:val="32"/>
          <w:szCs w:val="32"/>
        </w:rPr>
        <w:t>特色</w:t>
      </w:r>
      <w:r>
        <w:rPr>
          <w:rFonts w:ascii="仿宋_GB2312" w:hAnsi="仿宋_GB2312" w:eastAsia="仿宋_GB2312" w:cs="Times New Roman"/>
          <w:sz w:val="32"/>
          <w:szCs w:val="32"/>
        </w:rPr>
        <w:t xml:space="preserve">指标 “专业能力” </w:t>
      </w:r>
      <w:r>
        <w:rPr>
          <w:rFonts w:hint="eastAsia" w:ascii="仿宋_GB2312" w:hAnsi="仿宋_GB2312" w:eastAsia="仿宋_GB2312" w:cs="Times New Roman"/>
          <w:sz w:val="32"/>
          <w:szCs w:val="32"/>
        </w:rPr>
        <w:t>，设置相应</w:t>
      </w:r>
      <w:r>
        <w:rPr>
          <w:rFonts w:ascii="仿宋_GB2312" w:hAnsi="仿宋_GB2312" w:eastAsia="仿宋_GB2312" w:cs="Times New Roman"/>
          <w:sz w:val="32"/>
          <w:szCs w:val="32"/>
        </w:rPr>
        <w:t>二级指标“专业能力和成果”</w:t>
      </w:r>
      <w:r>
        <w:rPr>
          <w:rFonts w:hint="eastAsia" w:ascii="仿宋_GB2312" w:hAnsi="仿宋_GB2312" w:eastAsia="仿宋_GB2312" w:cs="Times New Roman"/>
          <w:sz w:val="32"/>
          <w:szCs w:val="32"/>
        </w:rPr>
        <w:t>。并按人才类型细分为</w:t>
      </w:r>
      <w:r>
        <w:rPr>
          <w:rFonts w:ascii="仿宋_GB2312" w:hAnsi="仿宋_GB2312" w:eastAsia="仿宋_GB2312" w:cs="Times New Roman"/>
          <w:sz w:val="32"/>
          <w:szCs w:val="32"/>
        </w:rPr>
        <w:t>“经管人才专业能力和成果”“技术人才专业能力和成果”“技能人才专业能力和成果”</w:t>
      </w:r>
      <w:r>
        <w:rPr>
          <w:rFonts w:hint="eastAsia" w:ascii="仿宋_GB2312" w:hAnsi="仿宋_GB2312" w:eastAsia="仿宋_GB2312" w:cs="Times New Roman"/>
          <w:sz w:val="32"/>
          <w:szCs w:val="32"/>
        </w:rPr>
        <w:t>三个三级指标项</w:t>
      </w:r>
      <w:r>
        <w:rPr>
          <w:rFonts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 xml:space="preserve">2. </w:t>
      </w:r>
      <w:r>
        <w:rPr>
          <w:rFonts w:hint="eastAsia" w:ascii="仿宋_GB2312" w:hAnsi="仿宋_GB2312" w:eastAsia="仿宋_GB2312" w:cs="Times New Roman"/>
          <w:sz w:val="32"/>
          <w:szCs w:val="32"/>
        </w:rPr>
        <w:t>在二</w:t>
      </w:r>
      <w:r>
        <w:rPr>
          <w:rFonts w:ascii="仿宋_GB2312" w:hAnsi="仿宋_GB2312" w:eastAsia="仿宋_GB2312" w:cs="Times New Roman"/>
          <w:sz w:val="32"/>
          <w:szCs w:val="32"/>
        </w:rPr>
        <w:t>级指标“工作业绩”</w:t>
      </w:r>
      <w:r>
        <w:rPr>
          <w:rFonts w:hint="eastAsia" w:ascii="仿宋_GB2312" w:hAnsi="仿宋_GB2312" w:eastAsia="仿宋_GB2312" w:cs="Times New Roman"/>
          <w:sz w:val="32"/>
          <w:szCs w:val="32"/>
        </w:rPr>
        <w:t>内容栏下新增</w:t>
      </w:r>
      <w:r>
        <w:rPr>
          <w:rFonts w:ascii="仿宋_GB2312" w:hAnsi="仿宋_GB2312" w:eastAsia="仿宋_GB2312" w:cs="Times New Roman"/>
          <w:sz w:val="32"/>
          <w:szCs w:val="32"/>
        </w:rPr>
        <w:t>三级指标“近五年内所获得的与工作密切相关的发明创造、标准制定、学术研究等成果”。</w:t>
      </w:r>
    </w:p>
    <w:p>
      <w:pPr>
        <w:ind w:firstLine="643" w:firstLineChars="200"/>
        <w:rPr>
          <w:rFonts w:ascii="仿宋_GB2312" w:hAnsi="仿宋_GB2312" w:eastAsia="仿宋_GB2312" w:cs="Times New Roman"/>
          <w:b/>
          <w:bCs/>
          <w:sz w:val="32"/>
          <w:szCs w:val="32"/>
        </w:rPr>
      </w:pPr>
      <w:r>
        <w:rPr>
          <w:rFonts w:hint="eastAsia" w:ascii="仿宋_GB2312" w:hAnsi="仿宋_GB2312" w:eastAsia="仿宋_GB2312" w:cs="Times New Roman"/>
          <w:b/>
          <w:bCs/>
          <w:sz w:val="32"/>
          <w:szCs w:val="32"/>
        </w:rPr>
        <w:t>（二）</w:t>
      </w:r>
      <w:r>
        <w:rPr>
          <w:rFonts w:ascii="仿宋_GB2312" w:hAnsi="仿宋_GB2312" w:eastAsia="仿宋_GB2312" w:cs="Times New Roman"/>
          <w:b/>
          <w:bCs/>
          <w:sz w:val="32"/>
          <w:szCs w:val="32"/>
        </w:rPr>
        <w:t>调整指标</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 xml:space="preserve">1. </w:t>
      </w:r>
      <w:r>
        <w:rPr>
          <w:rFonts w:hint="eastAsia" w:ascii="仿宋_GB2312" w:hAnsi="仿宋_GB2312" w:eastAsia="仿宋_GB2312" w:cs="Times New Roman"/>
          <w:sz w:val="32"/>
          <w:szCs w:val="32"/>
        </w:rPr>
        <w:t>将</w:t>
      </w:r>
      <w:r>
        <w:rPr>
          <w:rFonts w:ascii="仿宋_GB2312" w:hAnsi="仿宋_GB2312" w:eastAsia="仿宋_GB2312" w:cs="Times New Roman"/>
          <w:sz w:val="32"/>
          <w:szCs w:val="32"/>
        </w:rPr>
        <w:t>“基本要素——工作经历”下的三级指标 “现任职企业情况”调整为“任职企业情况”</w:t>
      </w:r>
      <w:r>
        <w:rPr>
          <w:rFonts w:hint="eastAsia" w:ascii="仿宋_GB2312" w:hAnsi="仿宋_GB2312" w:eastAsia="仿宋_GB2312" w:cs="Times New Roman"/>
          <w:sz w:val="32"/>
          <w:szCs w:val="32"/>
        </w:rPr>
        <w:t>，并在指标评分说</w:t>
      </w:r>
      <w:r>
        <w:rPr>
          <w:rFonts w:ascii="仿宋_GB2312" w:hAnsi="仿宋_GB2312" w:eastAsia="仿宋_GB2312" w:cs="Times New Roman"/>
          <w:sz w:val="32"/>
          <w:szCs w:val="32"/>
        </w:rPr>
        <w:t>明里增加“曾任职：上市企业或总部企业、属市规模以上企业、高新技术企业2分</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相关内容。</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2. 将原“业绩评价——政府（部门）或行业协会评价”下的三级指标“近5年所获奖项”，调整</w:t>
      </w:r>
      <w:r>
        <w:rPr>
          <w:rFonts w:hint="eastAsia" w:ascii="仿宋_GB2312" w:hAnsi="仿宋_GB2312" w:eastAsia="仿宋_GB2312" w:cs="Times New Roman"/>
          <w:sz w:val="32"/>
          <w:szCs w:val="32"/>
        </w:rPr>
        <w:t>细分</w:t>
      </w:r>
      <w:r>
        <w:rPr>
          <w:rFonts w:ascii="仿宋_GB2312" w:hAnsi="仿宋_GB2312" w:eastAsia="仿宋_GB2312" w:cs="Times New Roman"/>
          <w:sz w:val="32"/>
          <w:szCs w:val="32"/>
        </w:rPr>
        <w:t>为“近5年的获奖情况”“近5年所获荣誉称号”两个三级指标。</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3. 所有三级指标</w:t>
      </w:r>
      <w:r>
        <w:rPr>
          <w:rFonts w:hint="eastAsia" w:ascii="仿宋_GB2312" w:hAnsi="仿宋_GB2312" w:eastAsia="仿宋_GB2312" w:cs="Times New Roman"/>
          <w:sz w:val="32"/>
          <w:szCs w:val="32"/>
        </w:rPr>
        <w:t>分值</w:t>
      </w:r>
      <w:r>
        <w:rPr>
          <w:rFonts w:ascii="仿宋_GB2312" w:hAnsi="仿宋_GB2312" w:eastAsia="仿宋_GB2312" w:cs="Times New Roman"/>
          <w:sz w:val="32"/>
          <w:szCs w:val="32"/>
        </w:rPr>
        <w:t>调整以10分为满分的评分体系，通过指标权重进行分数换算</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4. 三级指标“是否列入市人才导向目录”的评分说明，参照新版《人才导向目录》的</w:t>
      </w:r>
      <w:r>
        <w:rPr>
          <w:rFonts w:ascii="仿宋_GB2312" w:hAnsi="仿宋_GB2312" w:eastAsia="仿宋_GB2312" w:cs="Segoe UI Symbol"/>
          <w:sz w:val="32"/>
          <w:szCs w:val="32"/>
        </w:rPr>
        <w:t>★★★</w:t>
      </w:r>
      <w:r>
        <w:rPr>
          <w:rFonts w:ascii="仿宋_GB2312" w:hAnsi="仿宋_GB2312" w:eastAsia="仿宋_GB2312" w:cs="Times New Roman"/>
          <w:sz w:val="32"/>
          <w:szCs w:val="32"/>
        </w:rPr>
        <w:t>评价体系进行调整；</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5</w:t>
      </w:r>
      <w:r>
        <w:rPr>
          <w:rFonts w:ascii="仿宋_GB2312" w:hAnsi="仿宋_GB2312" w:eastAsia="仿宋_GB2312" w:cs="Times New Roman"/>
          <w:sz w:val="32"/>
          <w:szCs w:val="32"/>
        </w:rPr>
        <w:t>. 三级指标“专业与岗位是否匹配”的评分说明，将“专业技术职称匹配”“技能证书匹配”两项指标合并为“岗位与专业技术职称或技能证书匹配”一项指标；</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6</w:t>
      </w:r>
      <w:r>
        <w:rPr>
          <w:rFonts w:ascii="仿宋_GB2312" w:hAnsi="仿宋_GB2312" w:eastAsia="仿宋_GB2312" w:cs="Times New Roman"/>
          <w:sz w:val="32"/>
          <w:szCs w:val="32"/>
        </w:rPr>
        <w:t>. 三级指标“年累计纳税情况”的评分说明，将原“每增加5000元加1分”调整为“每增加10000元加1分”；</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7</w:t>
      </w:r>
      <w:r>
        <w:rPr>
          <w:rFonts w:ascii="仿宋_GB2312" w:hAnsi="仿宋_GB2312" w:eastAsia="仿宋_GB2312" w:cs="Times New Roman"/>
          <w:sz w:val="32"/>
          <w:szCs w:val="32"/>
        </w:rPr>
        <w:t xml:space="preserve">. 一级指标“专家评审” 的分数占比，从原来15分调整为10分，并在评分说明中增加“非常优秀”“优秀”“良好”“一般”四个档次的评分标准。一级指标“专家评审”为专家根据申请人的材料，对申请人的综合情况进行自由裁量的评分。本次调整通过在评分说明中增加“非常优秀”“优秀”“良好”“一般”四个档次的评分标准，为专家评分提供档次依据；分数占比从原来15分调整为10分，此举目的是把专家自由裁量权比重控制在比较合理的范围内，尽可能客观地反映申请人的综合素质。 </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、指标体系使用说明</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经营管理类、专业技术类、专业技能类人才对应</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中山市企业紧缺适用高层次人才评价指标体系总表</w:t>
      </w:r>
      <w:r>
        <w:rPr>
          <w:rFonts w:hint="eastAsia" w:ascii="仿宋_GB2312" w:hAnsi="仿宋_GB2312" w:eastAsia="仿宋_GB2312" w:cs="Times New Roman"/>
          <w:sz w:val="32"/>
          <w:szCs w:val="32"/>
        </w:rPr>
        <w:t>》具体内容进</w:t>
      </w:r>
      <w:r>
        <w:rPr>
          <w:rFonts w:ascii="仿宋_GB2312" w:hAnsi="仿宋_GB2312" w:eastAsia="仿宋_GB2312" w:cs="Times New Roman"/>
          <w:sz w:val="32"/>
          <w:szCs w:val="32"/>
        </w:rPr>
        <w:t>行评分，</w:t>
      </w:r>
      <w:r>
        <w:rPr>
          <w:rFonts w:hint="eastAsia" w:ascii="仿宋_GB2312" w:hAnsi="仿宋_GB2312" w:eastAsia="仿宋_GB2312" w:cs="Times New Roman"/>
          <w:sz w:val="32"/>
          <w:szCs w:val="32"/>
          <w:lang w:eastAsia="zh-CN"/>
        </w:rPr>
        <w:t>评分评价</w:t>
      </w:r>
      <w:r>
        <w:rPr>
          <w:rFonts w:ascii="仿宋_GB2312" w:hAnsi="仿宋_GB2312" w:eastAsia="仿宋_GB2312" w:cs="Times New Roman"/>
          <w:sz w:val="32"/>
          <w:szCs w:val="32"/>
        </w:rPr>
        <w:t>适用方法参照</w:t>
      </w:r>
      <w:r>
        <w:rPr>
          <w:rFonts w:hint="eastAsia" w:ascii="仿宋_GB2312" w:hAnsi="仿宋_GB2312" w:eastAsia="仿宋_GB2312" w:cs="Times New Roman"/>
          <w:sz w:val="32"/>
          <w:szCs w:val="32"/>
          <w:lang w:eastAsia="zh-CN"/>
        </w:rPr>
        <w:t>如下</w:t>
      </w:r>
      <w:r>
        <w:rPr>
          <w:rFonts w:ascii="仿宋_GB2312" w:hAnsi="仿宋_GB2312" w:eastAsia="仿宋_GB2312" w:cs="Times New Roman"/>
          <w:sz w:val="32"/>
          <w:szCs w:val="32"/>
        </w:rPr>
        <w:t>：</w:t>
      </w:r>
    </w:p>
    <w:p>
      <w:pPr>
        <w:ind w:firstLine="640" w:firstLineChars="200"/>
        <w:rPr>
          <w:rFonts w:hint="eastAsia" w:ascii="仿宋_GB2312" w:hAnsi="仿宋_GB2312" w:eastAsia="仿宋_GB2312" w:cs="Times New Roman"/>
          <w:sz w:val="32"/>
          <w:szCs w:val="32"/>
          <w:lang w:eastAsia="zh-CN"/>
        </w:rPr>
      </w:pPr>
      <w:r>
        <w:rPr>
          <w:rFonts w:ascii="仿宋_GB2312" w:hAnsi="仿宋_GB2312" w:eastAsia="仿宋_GB2312" w:cs="Times New Roman"/>
          <w:sz w:val="32"/>
          <w:szCs w:val="32"/>
        </w:rPr>
        <w:t>“最高学历或学位”根据申请人所提供的最高学历或学位证明（含全日制与非全日制），学历/学位鉴定证书</w:t>
      </w:r>
      <w:r>
        <w:rPr>
          <w:rFonts w:hint="eastAsia" w:ascii="仿宋_GB2312" w:hAnsi="仿宋_GB2312" w:eastAsia="仿宋_GB2312" w:cs="Times New Roman"/>
          <w:color w:val="FF0000"/>
          <w:sz w:val="32"/>
          <w:szCs w:val="32"/>
          <w:lang w:eastAsia="zh-CN"/>
        </w:rPr>
        <w:t>（留学人员提供国家教育部留学服务中心国外学历学位认证书）</w:t>
      </w:r>
      <w:r>
        <w:rPr>
          <w:rFonts w:ascii="仿宋_GB2312" w:hAnsi="仿宋_GB2312" w:eastAsia="仿宋_GB2312" w:cs="Times New Roman"/>
          <w:sz w:val="32"/>
          <w:szCs w:val="32"/>
        </w:rPr>
        <w:t>、打印学信网或档案材料核定打分</w:t>
      </w:r>
      <w:r>
        <w:rPr>
          <w:rFonts w:hint="eastAsia" w:ascii="仿宋_GB2312" w:hAnsi="仿宋_GB2312" w:eastAsia="仿宋_GB2312" w:cs="Times New Roman"/>
          <w:sz w:val="32"/>
          <w:szCs w:val="32"/>
        </w:rPr>
        <w:t>。</w:t>
      </w:r>
    </w:p>
    <w:p>
      <w:pPr>
        <w:ind w:firstLine="640" w:firstLineChars="200"/>
        <w:rPr>
          <w:rFonts w:hint="eastAsia" w:ascii="仿宋_GB2312" w:hAnsi="仿宋_GB2312" w:eastAsia="仿宋_GB2312" w:cs="Times New Roman"/>
          <w:sz w:val="32"/>
          <w:szCs w:val="32"/>
          <w:lang w:eastAsia="zh-CN"/>
        </w:rPr>
      </w:pPr>
      <w:r>
        <w:rPr>
          <w:rFonts w:ascii="仿宋_GB2312" w:hAnsi="仿宋_GB2312" w:eastAsia="仿宋_GB2312" w:cs="Times New Roman"/>
          <w:sz w:val="32"/>
          <w:szCs w:val="32"/>
        </w:rPr>
        <w:t>“从事现专业或行业工作年限”根据申请人提供的由一家或多家单位出具的劳动合同或工作证明，结合参保记录</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color w:val="FF0000"/>
          <w:sz w:val="32"/>
          <w:szCs w:val="32"/>
          <w:lang w:eastAsia="zh-CN"/>
        </w:rPr>
        <w:t>纳税证明</w:t>
      </w:r>
      <w:r>
        <w:rPr>
          <w:rFonts w:hint="eastAsia" w:ascii="仿宋_GB2312" w:hAnsi="仿宋_GB2312" w:eastAsia="仿宋_GB2312" w:cs="Times New Roman"/>
          <w:sz w:val="32"/>
          <w:szCs w:val="32"/>
          <w:lang w:eastAsia="zh-CN"/>
        </w:rPr>
        <w:t>等</w:t>
      </w:r>
      <w:r>
        <w:rPr>
          <w:rFonts w:ascii="仿宋_GB2312" w:hAnsi="仿宋_GB2312" w:eastAsia="仿宋_GB2312" w:cs="Times New Roman"/>
          <w:sz w:val="32"/>
          <w:szCs w:val="32"/>
        </w:rPr>
        <w:t>核定打分</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如只提供一家单位的证明只能算在此单位的工作年限</w:t>
      </w:r>
      <w:r>
        <w:rPr>
          <w:rFonts w:hint="eastAsia" w:ascii="仿宋_GB2312" w:hAnsi="仿宋_GB2312" w:eastAsia="仿宋_GB2312" w:cs="Times New Roman"/>
          <w:sz w:val="32"/>
          <w:szCs w:val="32"/>
          <w:lang w:eastAsia="zh-CN"/>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“任职企业情况”结合申请人劳动（聘用）合同、参保记录等相关任职企业的证明材料，根据市经信局、科技局提供的各类企业名单查询</w:t>
      </w:r>
      <w:r>
        <w:rPr>
          <w:rFonts w:hint="eastAsia" w:ascii="仿宋_GB2312" w:hAnsi="仿宋_GB2312" w:eastAsia="仿宋_GB2312" w:cs="Times New Roman"/>
          <w:sz w:val="32"/>
          <w:szCs w:val="32"/>
          <w:lang w:eastAsia="zh-CN"/>
        </w:rPr>
        <w:t>并对照</w:t>
      </w:r>
      <w:r>
        <w:rPr>
          <w:rFonts w:ascii="仿宋_GB2312" w:hAnsi="仿宋_GB2312" w:eastAsia="仿宋_GB2312" w:cs="Times New Roman"/>
          <w:sz w:val="32"/>
          <w:szCs w:val="32"/>
        </w:rPr>
        <w:t>佐证材料核定打分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专业技术资格或职业（执业）资格”根据参评人提供的相关专业技术资格或职业（执业）资格证明材料、网上成绩查询结果核定打分；对属于省外职称的，提交职称评审表、认定申请表或考试报名发证登记表等材料，对申报人提交的材料进行核定打分；对于其他省外职称情况，可假设该人才在其他行业发展是否满足“职称省外来粤确认”的基本条件进行审核；对于无法查询的考试类职称成绩，由市人才开发科协助确认，核定打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“是否列入市人才导向目录”</w:t>
      </w:r>
      <w:r>
        <w:rPr>
          <w:rFonts w:ascii="仿宋_GB2312" w:hAnsi="仿宋_GB2312" w:eastAsia="仿宋_GB2312" w:cs="Times New Roman"/>
          <w:color w:val="FF0000"/>
          <w:sz w:val="32"/>
          <w:szCs w:val="32"/>
        </w:rPr>
        <w:t>参照</w:t>
      </w:r>
      <w:r>
        <w:rPr>
          <w:rFonts w:hint="eastAsia" w:ascii="仿宋_GB2312" w:hAnsi="仿宋_GB2312" w:eastAsia="仿宋_GB2312" w:cs="Times New Roman"/>
          <w:color w:val="FF0000"/>
          <w:sz w:val="32"/>
          <w:szCs w:val="32"/>
          <w:lang w:eastAsia="zh-CN"/>
        </w:rPr>
        <w:t>最新版本</w:t>
      </w:r>
      <w:r>
        <w:rPr>
          <w:rFonts w:hint="eastAsia" w:ascii="仿宋_GB2312" w:hAnsi="仿宋_GB2312" w:eastAsia="仿宋_GB2312" w:cs="Times New Roman"/>
          <w:sz w:val="32"/>
          <w:szCs w:val="32"/>
          <w:lang w:eastAsia="zh-CN"/>
        </w:rPr>
        <w:t>的</w:t>
      </w:r>
      <w:r>
        <w:rPr>
          <w:rFonts w:ascii="仿宋_GB2312" w:hAnsi="仿宋_GB2312" w:eastAsia="仿宋_GB2312" w:cs="Times New Roman"/>
          <w:sz w:val="32"/>
          <w:szCs w:val="32"/>
        </w:rPr>
        <w:t>《中山市紧缺适用高层次人才导向目录》（下称《目录》）的要求，判断申请人是否列入《目录》，以及相应的紧缺适用指数，并核定打分；“专业与岗位是否匹配”根据申请人提供的毕业证书、与所从事岗位相关的专业技术职称或技能证书、企业任职证明等材料，判断1.与其专业是否匹配；2.与其所获得的专业技术职称或技能证书是否匹配，以此核定打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lang w:val="en-US"/>
        </w:rPr>
      </w:pPr>
      <w:r>
        <w:rPr>
          <w:rFonts w:ascii="仿宋_GB2312" w:hAnsi="仿宋_GB2312" w:eastAsia="仿宋_GB2312" w:cs="Times New Roman"/>
          <w:sz w:val="32"/>
          <w:szCs w:val="32"/>
        </w:rPr>
        <w:t>“任职层次”根据申请人所在企业/曾任职企业出具的任职情况证明、加盖公章的企业架构等材料核定打分</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color w:val="FF0000"/>
          <w:sz w:val="32"/>
          <w:szCs w:val="32"/>
          <w:lang w:eastAsia="zh-CN"/>
        </w:rPr>
        <w:t>如以总公司名义进行任职情况申报的，需</w:t>
      </w:r>
      <w:r>
        <w:rPr>
          <w:rFonts w:ascii="仿宋_GB2312" w:hAnsi="仿宋_GB2312" w:eastAsia="仿宋_GB2312" w:cs="Times New Roman"/>
          <w:color w:val="FF0000"/>
          <w:sz w:val="32"/>
          <w:szCs w:val="32"/>
        </w:rPr>
        <w:t>判定在总公司体系中担任中、高层职务（经营管理线、专业技术线、专业技能线均可</w:t>
      </w:r>
      <w:r>
        <w:rPr>
          <w:rFonts w:hint="eastAsia" w:ascii="仿宋_GB2312" w:hAnsi="仿宋_GB2312" w:eastAsia="仿宋_GB2312" w:cs="Times New Roman"/>
          <w:color w:val="FF0000"/>
          <w:sz w:val="32"/>
          <w:szCs w:val="32"/>
          <w:lang w:eastAsia="zh-CN"/>
        </w:rPr>
        <w:t>），</w:t>
      </w:r>
      <w:r>
        <w:rPr>
          <w:rFonts w:ascii="仿宋_GB2312" w:hAnsi="仿宋_GB2312" w:eastAsia="仿宋_GB2312" w:cs="Times New Roman"/>
          <w:color w:val="FF0000"/>
          <w:sz w:val="32"/>
          <w:szCs w:val="32"/>
        </w:rPr>
        <w:t>如在</w:t>
      </w:r>
      <w:r>
        <w:rPr>
          <w:rFonts w:hint="eastAsia" w:ascii="仿宋_GB2312" w:hAnsi="仿宋_GB2312" w:eastAsia="仿宋_GB2312" w:cs="Times New Roman"/>
          <w:color w:val="FF0000"/>
          <w:sz w:val="32"/>
          <w:szCs w:val="32"/>
          <w:lang w:eastAsia="zh-CN"/>
        </w:rPr>
        <w:t>下属子公司、</w:t>
      </w:r>
      <w:r>
        <w:rPr>
          <w:rFonts w:ascii="仿宋_GB2312" w:hAnsi="仿宋_GB2312" w:eastAsia="仿宋_GB2312" w:cs="Times New Roman"/>
          <w:color w:val="FF0000"/>
          <w:sz w:val="32"/>
          <w:szCs w:val="32"/>
        </w:rPr>
        <w:t>分公司担任</w:t>
      </w:r>
      <w:r>
        <w:rPr>
          <w:rFonts w:hint="eastAsia" w:ascii="仿宋_GB2312" w:hAnsi="仿宋_GB2312" w:eastAsia="仿宋_GB2312" w:cs="Times New Roman"/>
          <w:color w:val="FF0000"/>
          <w:sz w:val="32"/>
          <w:szCs w:val="32"/>
          <w:lang w:eastAsia="zh-CN"/>
        </w:rPr>
        <w:t>一把手可视为</w:t>
      </w:r>
      <w:r>
        <w:rPr>
          <w:rFonts w:ascii="仿宋_GB2312" w:hAnsi="仿宋_GB2312" w:eastAsia="仿宋_GB2312" w:cs="Times New Roman"/>
          <w:color w:val="FF0000"/>
          <w:sz w:val="32"/>
          <w:szCs w:val="32"/>
        </w:rPr>
        <w:t>在总公司体系中担任中、高层职务</w:t>
      </w:r>
      <w:r>
        <w:rPr>
          <w:rFonts w:hint="eastAsia" w:ascii="仿宋_GB2312" w:hAnsi="仿宋_GB2312" w:eastAsia="仿宋_GB2312" w:cs="Times New Roman"/>
          <w:color w:val="FF0000"/>
          <w:sz w:val="32"/>
          <w:szCs w:val="32"/>
          <w:lang w:eastAsia="zh-CN"/>
        </w:rPr>
        <w:t>，</w:t>
      </w:r>
      <w:r>
        <w:rPr>
          <w:rFonts w:ascii="仿宋_GB2312" w:hAnsi="仿宋_GB2312" w:eastAsia="仿宋_GB2312" w:cs="Times New Roman"/>
          <w:color w:val="FF0000"/>
          <w:sz w:val="32"/>
          <w:szCs w:val="32"/>
        </w:rPr>
        <w:t>如在</w:t>
      </w:r>
      <w:r>
        <w:rPr>
          <w:rFonts w:hint="eastAsia" w:ascii="仿宋_GB2312" w:hAnsi="仿宋_GB2312" w:eastAsia="仿宋_GB2312" w:cs="Times New Roman"/>
          <w:color w:val="FF0000"/>
          <w:sz w:val="32"/>
          <w:szCs w:val="32"/>
          <w:lang w:eastAsia="zh-CN"/>
        </w:rPr>
        <w:t>下属子公司、</w:t>
      </w:r>
      <w:r>
        <w:rPr>
          <w:rFonts w:ascii="仿宋_GB2312" w:hAnsi="仿宋_GB2312" w:eastAsia="仿宋_GB2312" w:cs="Times New Roman"/>
          <w:color w:val="FF0000"/>
          <w:sz w:val="32"/>
          <w:szCs w:val="32"/>
        </w:rPr>
        <w:t>分公司担任</w:t>
      </w:r>
      <w:r>
        <w:rPr>
          <w:rFonts w:hint="eastAsia" w:ascii="仿宋_GB2312" w:hAnsi="仿宋_GB2312" w:eastAsia="仿宋_GB2312" w:cs="Times New Roman"/>
          <w:color w:val="FF0000"/>
          <w:sz w:val="32"/>
          <w:szCs w:val="32"/>
          <w:lang w:eastAsia="zh-CN"/>
        </w:rPr>
        <w:t>其他</w:t>
      </w:r>
      <w:r>
        <w:rPr>
          <w:rFonts w:ascii="仿宋_GB2312" w:hAnsi="仿宋_GB2312" w:eastAsia="仿宋_GB2312" w:cs="Times New Roman"/>
          <w:color w:val="FF0000"/>
          <w:sz w:val="32"/>
          <w:szCs w:val="32"/>
        </w:rPr>
        <w:t>管理层职务则不算分</w:t>
      </w:r>
      <w:r>
        <w:rPr>
          <w:rFonts w:hint="eastAsia" w:ascii="仿宋_GB2312" w:hAnsi="仿宋_GB2312" w:eastAsia="仿宋_GB2312" w:cs="Times New Roman"/>
          <w:color w:val="FF0000"/>
          <w:sz w:val="32"/>
          <w:szCs w:val="32"/>
        </w:rPr>
        <w:t>。</w:t>
      </w:r>
      <w:r>
        <w:rPr>
          <w:rFonts w:hint="eastAsia" w:ascii="仿宋_GB2312" w:hAnsi="仿宋_GB2312" w:eastAsia="仿宋_GB2312" w:cs="Times New Roman"/>
          <w:color w:val="FF0000"/>
          <w:sz w:val="32"/>
          <w:szCs w:val="32"/>
          <w:lang w:eastAsia="zh-CN"/>
        </w:rPr>
        <w:t>如以子公司、</w:t>
      </w:r>
      <w:r>
        <w:rPr>
          <w:rFonts w:ascii="仿宋_GB2312" w:hAnsi="仿宋_GB2312" w:eastAsia="仿宋_GB2312" w:cs="Times New Roman"/>
          <w:color w:val="FF0000"/>
          <w:sz w:val="32"/>
          <w:szCs w:val="32"/>
        </w:rPr>
        <w:t>分公司</w:t>
      </w:r>
      <w:r>
        <w:rPr>
          <w:rFonts w:hint="eastAsia" w:ascii="仿宋_GB2312" w:hAnsi="仿宋_GB2312" w:eastAsia="仿宋_GB2312" w:cs="Times New Roman"/>
          <w:color w:val="FF0000"/>
          <w:sz w:val="32"/>
          <w:szCs w:val="32"/>
          <w:lang w:eastAsia="zh-CN"/>
        </w:rPr>
        <w:t>名义进行任职情况申报的，则直接根据企业情况进行核定。</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“年累计纳税情况”根据申报人上一年度</w:t>
      </w:r>
      <w:r>
        <w:rPr>
          <w:rFonts w:hint="eastAsia" w:ascii="仿宋_GB2312" w:hAnsi="仿宋_GB2312" w:eastAsia="仿宋_GB2312" w:cs="Times New Roman"/>
          <w:color w:val="FF0000"/>
          <w:sz w:val="32"/>
          <w:szCs w:val="32"/>
          <w:lang w:eastAsia="zh-CN"/>
        </w:rPr>
        <w:t>（自然年</w:t>
      </w:r>
      <w:r>
        <w:rPr>
          <w:rFonts w:hint="eastAsia" w:ascii="仿宋_GB2312" w:hAnsi="仿宋_GB2312" w:eastAsia="仿宋_GB2312" w:cs="Times New Roman"/>
          <w:color w:val="FF0000"/>
          <w:sz w:val="32"/>
          <w:szCs w:val="32"/>
          <w:lang w:val="en-US" w:eastAsia="zh-CN"/>
        </w:rPr>
        <w:t>1-12月</w:t>
      </w:r>
      <w:r>
        <w:rPr>
          <w:rFonts w:hint="eastAsia" w:ascii="仿宋_GB2312" w:hAnsi="仿宋_GB2312" w:eastAsia="仿宋_GB2312" w:cs="Times New Roman"/>
          <w:color w:val="FF0000"/>
          <w:sz w:val="32"/>
          <w:szCs w:val="32"/>
          <w:lang w:eastAsia="zh-CN"/>
        </w:rPr>
        <w:t>）</w:t>
      </w:r>
      <w:r>
        <w:rPr>
          <w:rFonts w:ascii="仿宋_GB2312" w:hAnsi="仿宋_GB2312" w:eastAsia="仿宋_GB2312" w:cs="Times New Roman"/>
          <w:sz w:val="32"/>
          <w:szCs w:val="32"/>
        </w:rPr>
        <w:t>在现任职企业工作期间产生的个人纳税证明（不含交易税）核定打分</w:t>
      </w:r>
      <w:r>
        <w:rPr>
          <w:rFonts w:hint="eastAsia" w:ascii="仿宋_GB2312" w:hAnsi="仿宋_GB2312" w:eastAsia="仿宋_GB2312" w:cs="Times New Roman"/>
          <w:sz w:val="32"/>
          <w:szCs w:val="32"/>
        </w:rPr>
        <w:t>。</w:t>
      </w:r>
    </w:p>
    <w:p>
      <w:pPr>
        <w:ind w:firstLine="640" w:firstLineChars="200"/>
        <w:rPr>
          <w:rFonts w:hint="eastAsia" w:ascii="仿宋_GB2312" w:hAnsi="仿宋_GB2312" w:eastAsia="仿宋_GB2312" w:cs="Times New Roman"/>
          <w:sz w:val="32"/>
          <w:szCs w:val="32"/>
          <w:lang w:eastAsia="zh-CN"/>
        </w:rPr>
      </w:pPr>
      <w:r>
        <w:rPr>
          <w:rFonts w:ascii="仿宋_GB2312" w:hAnsi="仿宋_GB2312" w:eastAsia="仿宋_GB2312" w:cs="Times New Roman"/>
          <w:sz w:val="32"/>
          <w:szCs w:val="32"/>
        </w:rPr>
        <w:t>“近5年的获奖情况”根据申请人提供的获奖证书或相关证明材料复印件，在验证原件后核定打分</w:t>
      </w:r>
      <w:r>
        <w:rPr>
          <w:rFonts w:hint="eastAsia" w:ascii="仿宋_GB2312" w:hAnsi="仿宋_GB2312" w:eastAsia="仿宋_GB2312" w:cs="Times New Roman"/>
          <w:sz w:val="32"/>
          <w:szCs w:val="32"/>
        </w:rPr>
        <w:t>。</w:t>
      </w:r>
      <w:r>
        <w:rPr>
          <w:rFonts w:hint="eastAsia" w:ascii="仿宋_GB2312" w:hAnsi="仿宋_GB2312" w:eastAsia="仿宋_GB2312" w:cs="Times New Roman"/>
          <w:color w:val="FF0000"/>
          <w:sz w:val="32"/>
          <w:szCs w:val="32"/>
          <w:lang w:eastAsia="zh-CN"/>
        </w:rPr>
        <w:t>评奖单位以政府部门、行业协会、行业权威评价机构为主。企业内部评奖不算得分，可作为专家评价参考资料。</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“近5年所获荣誉称号”根据申请人提供的荣誉证书或相关证明材料复印件，在验证原件后核定打分</w:t>
      </w:r>
      <w:r>
        <w:rPr>
          <w:rFonts w:hint="eastAsia" w:ascii="仿宋_GB2312" w:hAnsi="仿宋_GB2312" w:eastAsia="仿宋_GB2312" w:cs="Times New Roman"/>
          <w:sz w:val="32"/>
          <w:szCs w:val="32"/>
        </w:rPr>
        <w:t>。</w:t>
      </w:r>
      <w:r>
        <w:rPr>
          <w:rFonts w:hint="eastAsia" w:ascii="仿宋_GB2312" w:hAnsi="仿宋_GB2312" w:eastAsia="仿宋_GB2312" w:cs="Times New Roman"/>
          <w:color w:val="FF0000"/>
          <w:sz w:val="32"/>
          <w:szCs w:val="32"/>
          <w:lang w:eastAsia="zh-CN"/>
        </w:rPr>
        <w:t>评奖单位以政府部门、行业协会、行业权威评价机构为主。企业内部评奖不算得分，可作为专家评价参考资料。</w:t>
      </w:r>
    </w:p>
    <w:p>
      <w:pPr>
        <w:ind w:firstLine="640" w:firstLineChars="200"/>
        <w:rPr>
          <w:rFonts w:hint="eastAsia" w:ascii="仿宋_GB2312" w:hAnsi="仿宋_GB2312" w:eastAsia="仿宋_GB2312" w:cs="Times New Roman"/>
          <w:sz w:val="32"/>
          <w:szCs w:val="32"/>
          <w:lang w:eastAsia="zh-CN"/>
        </w:rPr>
      </w:pPr>
      <w:r>
        <w:rPr>
          <w:rFonts w:ascii="仿宋_GB2312" w:hAnsi="仿宋_GB2312" w:eastAsia="仿宋_GB2312" w:cs="Times New Roman"/>
          <w:sz w:val="32"/>
          <w:szCs w:val="32"/>
        </w:rPr>
        <w:t>“企业认可度”根据企业法人代表或主要负责人亲笔签名的书面评价意见核定打分</w:t>
      </w:r>
      <w:r>
        <w:rPr>
          <w:rFonts w:hint="eastAsia" w:ascii="仿宋_GB2312" w:hAnsi="仿宋_GB2312" w:eastAsia="仿宋_GB2312" w:cs="Times New Roman"/>
          <w:sz w:val="32"/>
          <w:szCs w:val="32"/>
        </w:rPr>
        <w:t>。</w:t>
      </w:r>
      <w:r>
        <w:rPr>
          <w:rFonts w:ascii="仿宋_GB2312" w:hAnsi="仿宋_GB2312" w:eastAsia="仿宋_GB2312" w:cs="Times New Roman"/>
          <w:color w:val="FF0000"/>
          <w:sz w:val="32"/>
          <w:szCs w:val="32"/>
        </w:rPr>
        <w:t>企业法人代表或主要负责人</w:t>
      </w:r>
      <w:r>
        <w:rPr>
          <w:rFonts w:hint="eastAsia" w:ascii="仿宋_GB2312" w:hAnsi="仿宋_GB2312" w:eastAsia="仿宋_GB2312" w:cs="Times New Roman"/>
          <w:color w:val="FF0000"/>
          <w:sz w:val="32"/>
          <w:szCs w:val="32"/>
          <w:lang w:eastAsia="zh-CN"/>
        </w:rPr>
        <w:t>亲自参评的，可由企业其他相关负责人进行评价。</w:t>
      </w:r>
    </w:p>
    <w:p>
      <w:pPr>
        <w:ind w:firstLine="640" w:firstLineChars="200"/>
        <w:rPr>
          <w:rFonts w:hint="eastAsia" w:ascii="仿宋_GB2312" w:hAnsi="仿宋_GB2312" w:eastAsia="仿宋_GB2312" w:cs="Times New Roman"/>
          <w:sz w:val="32"/>
          <w:szCs w:val="32"/>
          <w:lang w:eastAsia="zh-CN"/>
        </w:rPr>
      </w:pPr>
      <w:r>
        <w:rPr>
          <w:rFonts w:ascii="仿宋_GB2312" w:hAnsi="仿宋_GB2312" w:eastAsia="仿宋_GB2312" w:cs="Times New Roman"/>
          <w:sz w:val="32"/>
          <w:szCs w:val="32"/>
        </w:rPr>
        <w:t>“近5年内所获得的与工作密切相关的发明创造/技术专利”根据申请人提供在有效期内的</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color w:val="FF0000"/>
          <w:sz w:val="32"/>
          <w:szCs w:val="32"/>
          <w:lang w:eastAsia="zh-CN"/>
        </w:rPr>
        <w:t>由中华人民共和国</w:t>
      </w:r>
      <w:r>
        <w:rPr>
          <w:rFonts w:ascii="仿宋_GB2312" w:hAnsi="仿宋_GB2312" w:eastAsia="仿宋_GB2312" w:cs="Times New Roman"/>
          <w:color w:val="FF0000"/>
          <w:sz w:val="32"/>
          <w:szCs w:val="32"/>
        </w:rPr>
        <w:t>国家</w:t>
      </w:r>
      <w:r>
        <w:rPr>
          <w:rFonts w:hint="eastAsia" w:ascii="仿宋_GB2312" w:hAnsi="仿宋_GB2312" w:eastAsia="仿宋_GB2312" w:cs="Times New Roman"/>
          <w:color w:val="FF0000"/>
          <w:sz w:val="32"/>
          <w:szCs w:val="32"/>
          <w:lang w:eastAsia="zh-CN"/>
        </w:rPr>
        <w:t>知识产权局</w:t>
      </w:r>
      <w:r>
        <w:rPr>
          <w:rFonts w:hint="eastAsia" w:ascii="仿宋_GB2312" w:hAnsi="仿宋_GB2312" w:eastAsia="仿宋_GB2312" w:cs="Times New Roman"/>
          <w:sz w:val="32"/>
          <w:szCs w:val="32"/>
          <w:lang w:eastAsia="zh-CN"/>
        </w:rPr>
        <w:t>核发的发明</w:t>
      </w:r>
      <w:r>
        <w:rPr>
          <w:rFonts w:ascii="仿宋_GB2312" w:hAnsi="仿宋_GB2312" w:eastAsia="仿宋_GB2312" w:cs="Times New Roman"/>
          <w:sz w:val="32"/>
          <w:szCs w:val="32"/>
        </w:rPr>
        <w:t>专利证书或</w:t>
      </w:r>
      <w:r>
        <w:rPr>
          <w:rFonts w:hint="eastAsia" w:ascii="仿宋_GB2312" w:hAnsi="仿宋_GB2312" w:eastAsia="仿宋_GB2312" w:cs="Times New Roman"/>
          <w:sz w:val="32"/>
          <w:szCs w:val="32"/>
          <w:lang w:eastAsia="zh-CN"/>
        </w:rPr>
        <w:t>实用新型专利证书</w:t>
      </w:r>
      <w:r>
        <w:rPr>
          <w:rFonts w:ascii="仿宋_GB2312" w:hAnsi="仿宋_GB2312" w:eastAsia="仿宋_GB2312" w:cs="Times New Roman"/>
          <w:sz w:val="32"/>
          <w:szCs w:val="32"/>
        </w:rPr>
        <w:t>核定打分</w:t>
      </w:r>
      <w:r>
        <w:rPr>
          <w:rFonts w:hint="eastAsia" w:ascii="仿宋_GB2312" w:hAnsi="仿宋_GB2312" w:eastAsia="仿宋_GB2312" w:cs="Times New Roman"/>
          <w:sz w:val="32"/>
          <w:szCs w:val="32"/>
        </w:rPr>
        <w:t>。</w:t>
      </w:r>
      <w:r>
        <w:rPr>
          <w:rFonts w:hint="eastAsia" w:ascii="仿宋_GB2312" w:hAnsi="仿宋_GB2312" w:eastAsia="仿宋_GB2312" w:cs="Times New Roman"/>
          <w:sz w:val="32"/>
          <w:szCs w:val="32"/>
          <w:lang w:eastAsia="zh-CN"/>
        </w:rPr>
        <w:t>外观专利证书不算得分。</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“近5年内所参与制定的行业标准、团体标准、省级及以上标准”根据申报人提供在有效期内的标准制定证书，及相关主管部门的证明文件或材料核定打分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“专著和编著”根据申报人提供专著、编著证明材料进行核定评分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“近5年内发表的论文数量”根据参评者提供符合要求的论文成果以及论文作者相关证明，核实论文发表情况是否属实，论文发表的刊物是否属于核心期刊、EI</w:t>
      </w:r>
      <w:r>
        <w:rPr>
          <w:rStyle w:val="7"/>
          <w:rFonts w:ascii="仿宋_GB2312" w:hAnsi="仿宋_GB2312" w:eastAsia="仿宋_GB2312" w:cs="Times New Roman"/>
          <w:sz w:val="32"/>
          <w:szCs w:val="32"/>
        </w:rPr>
        <w:footnoteReference w:id="2"/>
      </w:r>
      <w:r>
        <w:rPr>
          <w:rFonts w:ascii="仿宋_GB2312" w:hAnsi="仿宋_GB2312" w:eastAsia="仿宋_GB2312" w:cs="Times New Roman"/>
          <w:sz w:val="32"/>
          <w:szCs w:val="32"/>
        </w:rPr>
        <w:t>检索期刊、SCI</w:t>
      </w:r>
      <w:r>
        <w:rPr>
          <w:rStyle w:val="7"/>
          <w:rFonts w:ascii="仿宋_GB2312" w:hAnsi="仿宋_GB2312" w:eastAsia="仿宋_GB2312" w:cs="Times New Roman"/>
          <w:sz w:val="32"/>
          <w:szCs w:val="32"/>
        </w:rPr>
        <w:footnoteReference w:id="3"/>
      </w:r>
      <w:r>
        <w:rPr>
          <w:rFonts w:ascii="仿宋_GB2312" w:hAnsi="仿宋_GB2312" w:eastAsia="仿宋_GB2312" w:cs="Times New Roman"/>
          <w:sz w:val="32"/>
          <w:szCs w:val="32"/>
        </w:rPr>
        <w:t>刊物，并按照作者排名赋分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“经营管理人才专业能力和成果”根据申请人提供的相关佐证材料，如收益评估、业绩报告、公司内部通表</w:t>
      </w:r>
      <w:r>
        <w:rPr>
          <w:rFonts w:hint="eastAsia" w:ascii="仿宋_GB2312" w:hAnsi="仿宋_GB2312" w:eastAsia="仿宋_GB2312" w:cs="Times New Roman"/>
          <w:color w:val="FF0000"/>
          <w:sz w:val="32"/>
          <w:szCs w:val="32"/>
          <w:lang w:eastAsia="zh-CN"/>
        </w:rPr>
        <w:t>以及相关能力和成果展示</w:t>
      </w:r>
      <w:r>
        <w:rPr>
          <w:rFonts w:ascii="仿宋_GB2312" w:hAnsi="仿宋_GB2312" w:eastAsia="仿宋_GB2312" w:cs="Times New Roman"/>
          <w:sz w:val="32"/>
          <w:szCs w:val="32"/>
        </w:rPr>
        <w:t>等，由专家对其专业能力水平进行核定打分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专业技术人才专业能力和成果”根据申请人提供的相关佐证材料，如项目方案、产品/技术使用说明、项目合同、表彰通知、工程方案、设计文件、标准成果、规划设计方案、问题解决方案、工程试验、新闻报道</w:t>
      </w:r>
      <w:r>
        <w:rPr>
          <w:rFonts w:hint="eastAsia" w:ascii="仿宋_GB2312" w:hAnsi="仿宋_GB2312" w:eastAsia="仿宋_GB2312" w:cs="Times New Roman"/>
          <w:color w:val="FF0000"/>
          <w:sz w:val="32"/>
          <w:szCs w:val="32"/>
          <w:lang w:eastAsia="zh-CN"/>
        </w:rPr>
        <w:t>以及相关能力和成果展示</w:t>
      </w:r>
      <w:r>
        <w:rPr>
          <w:rFonts w:ascii="仿宋_GB2312" w:hAnsi="仿宋_GB2312" w:eastAsia="仿宋_GB2312" w:cs="Times New Roman"/>
          <w:sz w:val="32"/>
          <w:szCs w:val="32"/>
        </w:rPr>
        <w:t>等，由专家对其专业能力水平进行核定打分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“专业技能人才专业能力和成果”依据申请人提供的相关佐证材料，包括个人作品、所获奖项、公司表彰、荣誉证书</w:t>
      </w:r>
      <w:r>
        <w:rPr>
          <w:rFonts w:hint="eastAsia" w:ascii="仿宋_GB2312" w:hAnsi="仿宋_GB2312" w:eastAsia="仿宋_GB2312" w:cs="Times New Roman"/>
          <w:color w:val="FF0000"/>
          <w:sz w:val="32"/>
          <w:szCs w:val="32"/>
          <w:lang w:eastAsia="zh-CN"/>
        </w:rPr>
        <w:t>以及相关能力和成果展示</w:t>
      </w:r>
      <w:r>
        <w:rPr>
          <w:rFonts w:ascii="仿宋_GB2312" w:hAnsi="仿宋_GB2312" w:eastAsia="仿宋_GB2312" w:cs="Times New Roman"/>
          <w:sz w:val="32"/>
          <w:szCs w:val="32"/>
        </w:rPr>
        <w:t>等，由专家对其专业能力水平进行核定打分</w:t>
      </w:r>
      <w:r>
        <w:rPr>
          <w:rFonts w:hint="eastAsia" w:ascii="仿宋_GB2312" w:hAnsi="仿宋_GB2312" w:eastAsia="仿宋_GB2312" w:cs="Times New Roman"/>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“专家评审”根据申请人提供的相关材料，包括设计文件、工程方案、研究报告、业内考核、认证资料、佐证图片等，由</w:t>
      </w:r>
      <w:r>
        <w:rPr>
          <w:rFonts w:ascii="仿宋_GB2312" w:hAnsi="仿宋_GB2312" w:eastAsia="仿宋_GB2312" w:cs="Times New Roman"/>
          <w:color w:val="FF0000"/>
          <w:sz w:val="32"/>
          <w:szCs w:val="32"/>
        </w:rPr>
        <w:t>专家</w:t>
      </w:r>
      <w:r>
        <w:rPr>
          <w:rFonts w:hint="eastAsia" w:ascii="仿宋_GB2312" w:hAnsi="仿宋_GB2312" w:eastAsia="仿宋_GB2312" w:cs="Times New Roman"/>
          <w:color w:val="FF0000"/>
          <w:sz w:val="32"/>
          <w:szCs w:val="32"/>
          <w:lang w:eastAsia="zh-CN"/>
        </w:rPr>
        <w:t>个人综合评判</w:t>
      </w:r>
      <w:r>
        <w:rPr>
          <w:rFonts w:ascii="仿宋_GB2312" w:hAnsi="仿宋_GB2312" w:eastAsia="仿宋_GB2312" w:cs="Times New Roman"/>
          <w:sz w:val="32"/>
          <w:szCs w:val="32"/>
        </w:rPr>
        <w:t>各自评审分数，后勤计分时</w:t>
      </w:r>
      <w:r>
        <w:rPr>
          <w:rFonts w:hint="eastAsia" w:ascii="仿宋_GB2312" w:hAnsi="仿宋_GB2312" w:eastAsia="仿宋_GB2312" w:cs="Times New Roman"/>
          <w:color w:val="FF0000"/>
          <w:sz w:val="32"/>
          <w:szCs w:val="32"/>
          <w:lang w:eastAsia="zh-CN"/>
        </w:rPr>
        <w:t>采取比赛计分法</w:t>
      </w:r>
      <w:r>
        <w:rPr>
          <w:rFonts w:hint="eastAsia" w:ascii="仿宋_GB2312" w:hAnsi="仿宋_GB2312" w:eastAsia="仿宋_GB2312" w:cs="Times New Roman"/>
          <w:sz w:val="32"/>
          <w:szCs w:val="32"/>
          <w:lang w:eastAsia="zh-CN"/>
        </w:rPr>
        <w:t>，</w:t>
      </w:r>
      <w:r>
        <w:rPr>
          <w:rFonts w:ascii="仿宋_GB2312" w:hAnsi="仿宋_GB2312" w:eastAsia="仿宋_GB2312" w:cs="Times New Roman"/>
          <w:sz w:val="32"/>
          <w:szCs w:val="32"/>
        </w:rPr>
        <w:t>去除最高以及最低分数后取平均分为最终得分。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特点与创新</w:t>
      </w:r>
    </w:p>
    <w:p>
      <w:pPr>
        <w:ind w:firstLine="643" w:firstLineChars="200"/>
        <w:rPr>
          <w:rFonts w:ascii="仿宋_GB2312" w:hAnsi="仿宋_GB2312" w:eastAsia="仿宋_GB2312" w:cs="Times New Roman"/>
          <w:sz w:val="32"/>
          <w:szCs w:val="32"/>
        </w:rPr>
      </w:pPr>
      <w:r>
        <w:rPr>
          <w:rFonts w:hint="eastAsia" w:ascii="仿宋_GB2312" w:hAnsi="仿宋_GB2312" w:eastAsia="仿宋_GB2312" w:cs="Times New Roman"/>
          <w:b/>
          <w:bCs/>
          <w:sz w:val="32"/>
          <w:szCs w:val="32"/>
        </w:rPr>
        <w:t>（一）</w:t>
      </w:r>
      <w:r>
        <w:rPr>
          <w:rFonts w:ascii="仿宋_GB2312" w:hAnsi="仿宋_GB2312" w:eastAsia="仿宋_GB2312" w:cs="Times New Roman"/>
          <w:b/>
          <w:bCs/>
          <w:sz w:val="32"/>
          <w:szCs w:val="32"/>
        </w:rPr>
        <w:t>评定体系更</w:t>
      </w:r>
      <w:r>
        <w:rPr>
          <w:rFonts w:hint="eastAsia" w:ascii="仿宋_GB2312" w:hAnsi="仿宋_GB2312" w:eastAsia="仿宋_GB2312" w:cs="Times New Roman"/>
          <w:b/>
          <w:bCs/>
          <w:sz w:val="32"/>
          <w:szCs w:val="32"/>
        </w:rPr>
        <w:t>规范。</w:t>
      </w:r>
      <w:r>
        <w:rPr>
          <w:rFonts w:ascii="仿宋_GB2312" w:hAnsi="仿宋_GB2312" w:eastAsia="仿宋_GB2312" w:cs="Times New Roman"/>
          <w:sz w:val="32"/>
          <w:szCs w:val="32"/>
        </w:rPr>
        <w:t>以国务院办公厅《关于分类推进人才评价机制改革的指导意见》和广东省办公厅《广东省分类推进人才评价机制改革的实施方案》（粤办发[2018]129号）文件精神为指导，对《人才评定体系》进行修订，</w:t>
      </w:r>
      <w:r>
        <w:rPr>
          <w:rFonts w:hint="eastAsia" w:ascii="仿宋_GB2312" w:hAnsi="仿宋_GB2312" w:eastAsia="仿宋_GB2312" w:cs="Times New Roman"/>
          <w:sz w:val="32"/>
          <w:szCs w:val="32"/>
        </w:rPr>
        <w:t>为充分发挥</w:t>
      </w:r>
      <w:r>
        <w:rPr>
          <w:rFonts w:ascii="仿宋_GB2312" w:hAnsi="仿宋_GB2312" w:eastAsia="仿宋_GB2312" w:cs="Times New Roman"/>
          <w:sz w:val="32"/>
          <w:szCs w:val="32"/>
        </w:rPr>
        <w:t>政府、市场、社会组织、用人单位等多元评价主体作用</w:t>
      </w:r>
      <w:r>
        <w:rPr>
          <w:rFonts w:hint="eastAsia" w:ascii="仿宋_GB2312" w:hAnsi="仿宋_GB2312" w:eastAsia="仿宋_GB2312" w:cs="Times New Roman"/>
          <w:sz w:val="32"/>
          <w:szCs w:val="32"/>
        </w:rPr>
        <w:t>提供政策规范保障</w:t>
      </w:r>
      <w:r>
        <w:rPr>
          <w:rFonts w:ascii="仿宋_GB2312" w:hAnsi="仿宋_GB2312" w:eastAsia="仿宋_GB2312" w:cs="Times New Roman"/>
          <w:sz w:val="32"/>
          <w:szCs w:val="32"/>
        </w:rPr>
        <w:t>。</w:t>
      </w:r>
    </w:p>
    <w:p>
      <w:pPr>
        <w:ind w:firstLine="643" w:firstLineChars="200"/>
        <w:rPr>
          <w:rFonts w:hint="eastAsia" w:ascii="仿宋_GB2312" w:hAnsi="仿宋_GB2312" w:eastAsia="仿宋_GB2312" w:cs="Times New Roman"/>
          <w:sz w:val="32"/>
          <w:szCs w:val="32"/>
        </w:rPr>
      </w:pPr>
      <w:r>
        <w:rPr>
          <w:rFonts w:hint="eastAsia" w:ascii="仿宋_GB2312" w:hAnsi="仿宋_GB2312" w:eastAsia="仿宋_GB2312" w:cs="Times New Roman"/>
          <w:b/>
          <w:bCs/>
          <w:sz w:val="32"/>
          <w:szCs w:val="32"/>
        </w:rPr>
        <w:t>（二）</w:t>
      </w:r>
      <w:r>
        <w:rPr>
          <w:rFonts w:ascii="仿宋_GB2312" w:hAnsi="仿宋_GB2312" w:eastAsia="仿宋_GB2312" w:cs="Times New Roman"/>
          <w:b/>
          <w:bCs/>
          <w:sz w:val="32"/>
          <w:szCs w:val="32"/>
        </w:rPr>
        <w:t>产业划分更</w:t>
      </w:r>
      <w:r>
        <w:rPr>
          <w:rFonts w:hint="eastAsia" w:ascii="仿宋_GB2312" w:hAnsi="仿宋_GB2312" w:eastAsia="仿宋_GB2312" w:cs="Times New Roman"/>
          <w:b/>
          <w:bCs/>
          <w:sz w:val="32"/>
          <w:szCs w:val="32"/>
        </w:rPr>
        <w:t>科学。</w:t>
      </w:r>
      <w:r>
        <w:rPr>
          <w:rFonts w:ascii="仿宋_GB2312" w:hAnsi="仿宋_GB2312" w:eastAsia="仿宋_GB2312" w:cs="Times New Roman"/>
          <w:sz w:val="32"/>
          <w:szCs w:val="32"/>
        </w:rPr>
        <w:t>《人才评定体系》从原来只针对企业的单一体系</w:t>
      </w:r>
      <w:r>
        <w:rPr>
          <w:rFonts w:hint="eastAsia" w:ascii="仿宋_GB2312" w:hAnsi="仿宋_GB2312" w:eastAsia="仿宋_GB2312" w:cs="Times New Roman"/>
          <w:sz w:val="32"/>
          <w:szCs w:val="32"/>
        </w:rPr>
        <w:t>改</w:t>
      </w:r>
      <w:r>
        <w:rPr>
          <w:rFonts w:ascii="仿宋_GB2312" w:hAnsi="仿宋_GB2312" w:eastAsia="仿宋_GB2312" w:cs="Times New Roman"/>
          <w:sz w:val="32"/>
          <w:szCs w:val="32"/>
        </w:rPr>
        <w:t>为</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第一、二产业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和</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第三产业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w:t>
      </w:r>
      <w:r>
        <w:rPr>
          <w:rFonts w:hint="eastAsia" w:ascii="仿宋_GB2312" w:hAnsi="仿宋_GB2312" w:eastAsia="仿宋_GB2312" w:cs="Times New Roman"/>
          <w:sz w:val="32"/>
          <w:szCs w:val="32"/>
        </w:rPr>
        <w:t>套</w:t>
      </w:r>
      <w:r>
        <w:rPr>
          <w:rFonts w:ascii="仿宋_GB2312" w:hAnsi="仿宋_GB2312" w:eastAsia="仿宋_GB2312" w:cs="Times New Roman"/>
          <w:sz w:val="32"/>
          <w:szCs w:val="32"/>
        </w:rPr>
        <w:t>评定体系，</w:t>
      </w:r>
      <w:r>
        <w:rPr>
          <w:rFonts w:hint="eastAsia" w:ascii="仿宋_GB2312" w:hAnsi="仿宋_GB2312" w:eastAsia="仿宋_GB2312" w:cs="Times New Roman"/>
          <w:color w:val="FF0000"/>
          <w:sz w:val="32"/>
          <w:szCs w:val="32"/>
          <w:lang w:eastAsia="zh-CN"/>
        </w:rPr>
        <w:t>适应产业人才需求特点，</w:t>
      </w:r>
      <w:r>
        <w:rPr>
          <w:rFonts w:ascii="仿宋_GB2312" w:hAnsi="仿宋_GB2312" w:eastAsia="仿宋_GB2312" w:cs="Times New Roman"/>
          <w:sz w:val="32"/>
          <w:szCs w:val="32"/>
        </w:rPr>
        <w:t>充分发挥人才评价正向激励作用</w:t>
      </w:r>
      <w:r>
        <w:rPr>
          <w:rFonts w:hint="eastAsia" w:ascii="仿宋_GB2312" w:hAnsi="仿宋_GB2312" w:eastAsia="仿宋_GB2312" w:cs="Times New Roman"/>
          <w:sz w:val="32"/>
          <w:szCs w:val="32"/>
        </w:rPr>
        <w:t>，最大限度激发和释放人才创新创业活力，促进人才发展与经济社会发展深度整合</w:t>
      </w:r>
      <w:r>
        <w:rPr>
          <w:rFonts w:ascii="仿宋_GB2312" w:hAnsi="仿宋_GB2312" w:eastAsia="仿宋_GB2312" w:cs="Times New Roman"/>
          <w:sz w:val="32"/>
          <w:szCs w:val="32"/>
        </w:rPr>
        <w:t>。</w:t>
      </w:r>
    </w:p>
    <w:p>
      <w:pPr>
        <w:ind w:firstLine="643" w:firstLineChars="200"/>
        <w:rPr>
          <w:rFonts w:ascii="仿宋_GB2312" w:hAnsi="仿宋_GB2312" w:eastAsia="仿宋_GB2312" w:cs="Times New Roman"/>
          <w:sz w:val="32"/>
          <w:szCs w:val="32"/>
        </w:rPr>
      </w:pPr>
      <w:r>
        <w:rPr>
          <w:rFonts w:hint="eastAsia" w:ascii="仿宋_GB2312" w:hAnsi="仿宋_GB2312" w:eastAsia="仿宋_GB2312" w:cs="Times New Roman"/>
          <w:b/>
          <w:bCs/>
          <w:sz w:val="32"/>
          <w:szCs w:val="32"/>
        </w:rPr>
        <w:t>（三）</w:t>
      </w:r>
      <w:r>
        <w:rPr>
          <w:rFonts w:ascii="仿宋_GB2312" w:hAnsi="仿宋_GB2312" w:eastAsia="仿宋_GB2312" w:cs="Times New Roman"/>
          <w:b/>
          <w:bCs/>
          <w:sz w:val="32"/>
          <w:szCs w:val="32"/>
        </w:rPr>
        <w:t>人才分类更清晰</w:t>
      </w:r>
      <w:r>
        <w:rPr>
          <w:rFonts w:hint="eastAsia" w:ascii="仿宋_GB2312" w:hAnsi="仿宋_GB2312" w:eastAsia="仿宋_GB2312" w:cs="Times New Roman"/>
          <w:b/>
          <w:bCs/>
          <w:sz w:val="32"/>
          <w:szCs w:val="32"/>
        </w:rPr>
        <w:t>。</w:t>
      </w:r>
      <w:r>
        <w:rPr>
          <w:rFonts w:hint="eastAsia" w:ascii="仿宋_GB2312" w:hAnsi="仿宋_GB2312" w:eastAsia="仿宋_GB2312" w:cs="Times New Roman"/>
          <w:sz w:val="32"/>
          <w:szCs w:val="32"/>
        </w:rPr>
        <w:t>结合</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中山市企业紧缺适用</w:t>
      </w:r>
      <w:r>
        <w:rPr>
          <w:rFonts w:ascii="仿宋_GB2312" w:hAnsi="仿宋_GB2312" w:eastAsia="仿宋_GB2312" w:cs="Times New Roman"/>
          <w:sz w:val="32"/>
          <w:szCs w:val="32"/>
        </w:rPr>
        <w:t>人才导向目录》</w:t>
      </w:r>
      <w:r>
        <w:rPr>
          <w:rFonts w:hint="eastAsia" w:ascii="仿宋_GB2312" w:hAnsi="仿宋_GB2312" w:eastAsia="仿宋_GB2312" w:cs="Times New Roman"/>
          <w:sz w:val="32"/>
          <w:szCs w:val="32"/>
        </w:rPr>
        <w:t>（2020版）</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根据</w:t>
      </w:r>
      <w:r>
        <w:rPr>
          <w:rFonts w:ascii="仿宋_GB2312" w:hAnsi="仿宋_GB2312" w:eastAsia="仿宋_GB2312" w:cs="Times New Roman"/>
          <w:sz w:val="32"/>
          <w:szCs w:val="32"/>
        </w:rPr>
        <w:t>不同产业、不同行业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不同领域</w:t>
      </w:r>
      <w:r>
        <w:rPr>
          <w:rFonts w:hint="eastAsia" w:ascii="仿宋_GB2312" w:hAnsi="仿宋_GB2312" w:eastAsia="仿宋_GB2312" w:cs="Times New Roman"/>
          <w:sz w:val="32"/>
          <w:szCs w:val="32"/>
        </w:rPr>
        <w:t>要求，</w:t>
      </w:r>
      <w:r>
        <w:rPr>
          <w:rFonts w:ascii="仿宋_GB2312" w:hAnsi="仿宋_GB2312" w:eastAsia="仿宋_GB2312" w:cs="Times New Roman"/>
          <w:sz w:val="32"/>
          <w:szCs w:val="32"/>
        </w:rPr>
        <w:t>将人才划分为经营管理、专业技术、专业技能三</w:t>
      </w:r>
      <w:r>
        <w:rPr>
          <w:rFonts w:hint="eastAsia" w:ascii="仿宋_GB2312" w:hAnsi="仿宋_GB2312" w:eastAsia="仿宋_GB2312" w:cs="Times New Roman"/>
          <w:sz w:val="32"/>
          <w:szCs w:val="32"/>
        </w:rPr>
        <w:t>种类型并分别设置评</w:t>
      </w:r>
      <w:r>
        <w:rPr>
          <w:rFonts w:ascii="仿宋_GB2312" w:hAnsi="仿宋_GB2312" w:eastAsia="仿宋_GB2312" w:cs="Times New Roman"/>
          <w:sz w:val="32"/>
          <w:szCs w:val="32"/>
        </w:rPr>
        <w:t>分标准</w:t>
      </w:r>
      <w:r>
        <w:rPr>
          <w:rFonts w:hint="eastAsia" w:ascii="仿宋_GB2312" w:hAnsi="仿宋_GB2312" w:eastAsia="仿宋_GB2312" w:cs="Times New Roman"/>
          <w:sz w:val="32"/>
          <w:szCs w:val="32"/>
        </w:rPr>
        <w:t>，体现了差别化评价作用，鼓励人才在不同领域、不同岗位作出贡献</w:t>
      </w:r>
      <w:r>
        <w:rPr>
          <w:rFonts w:ascii="仿宋_GB2312" w:hAnsi="仿宋_GB2312" w:eastAsia="仿宋_GB2312" w:cs="Times New Roman"/>
          <w:sz w:val="32"/>
          <w:szCs w:val="32"/>
        </w:rPr>
        <w:t>。</w:t>
      </w:r>
    </w:p>
    <w:p>
      <w:pPr>
        <w:ind w:firstLine="643" w:firstLineChars="200"/>
        <w:rPr>
          <w:rFonts w:ascii="仿宋_GB2312" w:hAnsi="仿宋_GB2312" w:eastAsia="仿宋_GB2312" w:cs="Times New Roman"/>
          <w:sz w:val="32"/>
          <w:szCs w:val="32"/>
        </w:rPr>
      </w:pPr>
      <w:r>
        <w:rPr>
          <w:rFonts w:hint="eastAsia" w:ascii="仿宋_GB2312" w:hAnsi="仿宋_GB2312" w:eastAsia="仿宋_GB2312" w:cs="Times New Roman"/>
          <w:b/>
          <w:bCs/>
          <w:sz w:val="32"/>
          <w:szCs w:val="32"/>
        </w:rPr>
        <w:t>（四）</w:t>
      </w:r>
      <w:r>
        <w:rPr>
          <w:rFonts w:ascii="仿宋_GB2312" w:hAnsi="仿宋_GB2312" w:eastAsia="仿宋_GB2312" w:cs="Times New Roman"/>
          <w:b/>
          <w:bCs/>
          <w:sz w:val="32"/>
          <w:szCs w:val="32"/>
        </w:rPr>
        <w:t>分值</w:t>
      </w:r>
      <w:r>
        <w:rPr>
          <w:rFonts w:hint="eastAsia" w:ascii="仿宋_GB2312" w:hAnsi="仿宋_GB2312" w:eastAsia="仿宋_GB2312" w:cs="Times New Roman"/>
          <w:b/>
          <w:bCs/>
          <w:sz w:val="32"/>
          <w:szCs w:val="32"/>
        </w:rPr>
        <w:t>权重</w:t>
      </w:r>
      <w:r>
        <w:rPr>
          <w:rFonts w:ascii="仿宋_GB2312" w:hAnsi="仿宋_GB2312" w:eastAsia="仿宋_GB2312" w:cs="Times New Roman"/>
          <w:b/>
          <w:bCs/>
          <w:sz w:val="32"/>
          <w:szCs w:val="32"/>
        </w:rPr>
        <w:t>更合理</w:t>
      </w:r>
      <w:r>
        <w:rPr>
          <w:rFonts w:hint="eastAsia" w:ascii="仿宋_GB2312" w:hAnsi="仿宋_GB2312" w:eastAsia="仿宋_GB2312" w:cs="Times New Roman"/>
          <w:b/>
          <w:bCs/>
          <w:sz w:val="32"/>
          <w:szCs w:val="32"/>
        </w:rPr>
        <w:t>。</w:t>
      </w:r>
      <w:r>
        <w:rPr>
          <w:rFonts w:ascii="仿宋_GB2312" w:hAnsi="仿宋_GB2312" w:eastAsia="仿宋_GB2312" w:cs="Times New Roman"/>
          <w:sz w:val="32"/>
          <w:szCs w:val="32"/>
        </w:rPr>
        <w:t>对各项评价指标的定性评价与定量评价</w:t>
      </w:r>
      <w:r>
        <w:rPr>
          <w:rFonts w:hint="eastAsia" w:ascii="仿宋_GB2312" w:hAnsi="仿宋_GB2312" w:eastAsia="仿宋_GB2312" w:cs="Times New Roman"/>
          <w:sz w:val="32"/>
          <w:szCs w:val="32"/>
        </w:rPr>
        <w:t>设置</w:t>
      </w:r>
      <w:r>
        <w:rPr>
          <w:rFonts w:ascii="仿宋_GB2312" w:hAnsi="仿宋_GB2312" w:eastAsia="仿宋_GB2312" w:cs="Times New Roman"/>
          <w:sz w:val="32"/>
          <w:szCs w:val="32"/>
        </w:rPr>
        <w:t>更加科学合理，体现了各有侧重的人才评价标准。</w:t>
      </w:r>
    </w:p>
    <w:p>
      <w:pPr>
        <w:ind w:firstLine="643" w:firstLineChars="200"/>
        <w:rPr>
          <w:rFonts w:ascii="仿宋_GB2312" w:hAnsi="仿宋_GB2312" w:eastAsia="仿宋_GB2312" w:cs="Times New Roman"/>
          <w:sz w:val="32"/>
          <w:szCs w:val="32"/>
        </w:rPr>
      </w:pPr>
      <w:r>
        <w:rPr>
          <w:rFonts w:hint="eastAsia" w:ascii="仿宋_GB2312" w:hAnsi="仿宋_GB2312" w:eastAsia="仿宋_GB2312" w:cs="Times New Roman"/>
          <w:b/>
          <w:bCs/>
          <w:sz w:val="32"/>
          <w:szCs w:val="32"/>
        </w:rPr>
        <w:t>（五）</w:t>
      </w:r>
      <w:r>
        <w:rPr>
          <w:rFonts w:ascii="仿宋_GB2312" w:hAnsi="仿宋_GB2312" w:eastAsia="仿宋_GB2312" w:cs="Times New Roman"/>
          <w:b/>
          <w:bCs/>
          <w:sz w:val="32"/>
          <w:szCs w:val="32"/>
        </w:rPr>
        <w:t>评</w:t>
      </w:r>
      <w:r>
        <w:rPr>
          <w:rFonts w:hint="eastAsia" w:ascii="仿宋_GB2312" w:hAnsi="仿宋_GB2312" w:eastAsia="仿宋_GB2312" w:cs="Times New Roman"/>
          <w:b/>
          <w:bCs/>
          <w:sz w:val="32"/>
          <w:szCs w:val="32"/>
        </w:rPr>
        <w:t>价</w:t>
      </w:r>
      <w:r>
        <w:rPr>
          <w:rFonts w:ascii="仿宋_GB2312" w:hAnsi="仿宋_GB2312" w:eastAsia="仿宋_GB2312" w:cs="Times New Roman"/>
          <w:b/>
          <w:bCs/>
          <w:sz w:val="32"/>
          <w:szCs w:val="32"/>
        </w:rPr>
        <w:t>标准更</w:t>
      </w:r>
      <w:r>
        <w:rPr>
          <w:rFonts w:hint="eastAsia" w:ascii="仿宋_GB2312" w:hAnsi="仿宋_GB2312" w:eastAsia="仿宋_GB2312" w:cs="Times New Roman"/>
          <w:b/>
          <w:bCs/>
          <w:sz w:val="32"/>
          <w:szCs w:val="32"/>
        </w:rPr>
        <w:t>公平。</w:t>
      </w:r>
      <w:r>
        <w:rPr>
          <w:rFonts w:ascii="仿宋_GB2312" w:hAnsi="仿宋_GB2312" w:eastAsia="仿宋_GB2312" w:cs="Times New Roman"/>
          <w:sz w:val="32"/>
          <w:szCs w:val="32"/>
        </w:rPr>
        <w:t>对《人才评定体系》的一、二级指示</w:t>
      </w:r>
      <w:r>
        <w:rPr>
          <w:rFonts w:hint="eastAsia" w:ascii="仿宋_GB2312" w:hAnsi="仿宋_GB2312" w:eastAsia="仿宋_GB2312" w:cs="Times New Roman"/>
          <w:sz w:val="32"/>
          <w:szCs w:val="32"/>
        </w:rPr>
        <w:t>分值占比</w:t>
      </w:r>
      <w:r>
        <w:rPr>
          <w:rFonts w:ascii="仿宋_GB2312" w:hAnsi="仿宋_GB2312" w:eastAsia="仿宋_GB2312" w:cs="Times New Roman"/>
          <w:sz w:val="32"/>
          <w:szCs w:val="32"/>
        </w:rPr>
        <w:t>进行了平衡调整，</w:t>
      </w:r>
      <w:r>
        <w:rPr>
          <w:rFonts w:hint="eastAsia" w:ascii="仿宋_GB2312" w:hAnsi="仿宋_GB2312" w:eastAsia="仿宋_GB2312" w:cs="Times New Roman"/>
          <w:sz w:val="32"/>
          <w:szCs w:val="32"/>
        </w:rPr>
        <w:t>分值权重</w:t>
      </w:r>
      <w:r>
        <w:rPr>
          <w:rFonts w:ascii="仿宋_GB2312" w:hAnsi="仿宋_GB2312" w:eastAsia="仿宋_GB2312" w:cs="Times New Roman"/>
          <w:sz w:val="32"/>
          <w:szCs w:val="32"/>
        </w:rPr>
        <w:t>设置更加突出品德、</w:t>
      </w:r>
      <w:r>
        <w:rPr>
          <w:rFonts w:hint="eastAsia" w:ascii="仿宋_GB2312" w:hAnsi="仿宋_GB2312" w:eastAsia="仿宋_GB2312" w:cs="Times New Roman"/>
          <w:sz w:val="32"/>
          <w:szCs w:val="32"/>
        </w:rPr>
        <w:t>个人</w:t>
      </w:r>
      <w:r>
        <w:rPr>
          <w:rFonts w:ascii="仿宋_GB2312" w:hAnsi="仿宋_GB2312" w:eastAsia="仿宋_GB2312" w:cs="Times New Roman"/>
          <w:sz w:val="32"/>
          <w:szCs w:val="32"/>
        </w:rPr>
        <w:t>能力和业绩评价导向，建立不同职业、不同岗位、不同层次人才评价机制，让各类人才价值得到充分尊重和体现。</w:t>
      </w:r>
    </w:p>
    <w:sectPr>
      <w:footerReference r:id="rId4" w:type="default"/>
      <w:pgSz w:w="11906" w:h="16838"/>
      <w:pgMar w:top="1984" w:right="1701" w:bottom="1701"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Apple Color Emoji">
    <w:altName w:val="Calibri"/>
    <w:panose1 w:val="00000000000000000000"/>
    <w:charset w:val="00"/>
    <w:family w:val="auto"/>
    <w:pitch w:val="default"/>
    <w:sig w:usb0="00000000" w:usb1="00000000" w:usb2="14000000" w:usb3="00000000" w:csb0="00000001" w:csb1="00000000"/>
  </w:font>
  <w:font w:name="Segoe UI Symbol">
    <w:panose1 w:val="020B0502040204020203"/>
    <w:charset w:val="00"/>
    <w:family w:val="swiss"/>
    <w:pitch w:val="default"/>
    <w:sig w:usb0="8000006F" w:usb1="1200FBEF" w:usb2="0064C000" w:usb3="00000002" w:csb0="00000001" w:csb1="4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639920"/>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sz w:val="15"/>
          <w:szCs w:val="15"/>
        </w:rPr>
      </w:pPr>
      <w:r>
        <w:rPr>
          <w:sz w:val="15"/>
          <w:szCs w:val="15"/>
        </w:rPr>
        <w:footnoteRef/>
      </w:r>
      <w:r>
        <w:rPr>
          <w:sz w:val="15"/>
          <w:szCs w:val="15"/>
        </w:rPr>
        <w:t xml:space="preserve"> . </w:t>
      </w:r>
      <w:r>
        <w:rPr>
          <w:rFonts w:hint="eastAsia"/>
          <w:sz w:val="15"/>
          <w:szCs w:val="15"/>
        </w:rPr>
        <w:t>本处“不同层级”特指参评人任职单位的内部层级。</w:t>
      </w:r>
    </w:p>
  </w:footnote>
  <w:footnote w:id="1">
    <w:p>
      <w:pPr>
        <w:pStyle w:val="5"/>
      </w:pPr>
      <w:r>
        <w:rPr>
          <w:sz w:val="15"/>
          <w:szCs w:val="15"/>
        </w:rPr>
        <w:footnoteRef/>
      </w:r>
      <w:r>
        <w:rPr>
          <w:sz w:val="15"/>
          <w:szCs w:val="15"/>
        </w:rPr>
        <w:t xml:space="preserve"> . 经营管理类、专业技术类、专业技能类</w:t>
      </w:r>
      <w:r>
        <w:rPr>
          <w:rFonts w:hint="eastAsia"/>
          <w:sz w:val="15"/>
          <w:szCs w:val="15"/>
        </w:rPr>
        <w:t>。</w:t>
      </w:r>
    </w:p>
  </w:footnote>
  <w:footnote w:id="2">
    <w:p>
      <w:pPr>
        <w:pStyle w:val="5"/>
        <w:rPr>
          <w:rFonts w:hint="eastAsia"/>
        </w:rPr>
      </w:pPr>
      <w:r>
        <w:rPr>
          <w:rStyle w:val="7"/>
        </w:rPr>
        <w:footnoteRef/>
      </w:r>
      <w:r>
        <w:t xml:space="preserve"> </w:t>
      </w:r>
      <w:r>
        <w:rPr>
          <w:rFonts w:hint="eastAsia"/>
        </w:rPr>
        <w:t>EI</w:t>
      </w:r>
      <w:r>
        <w:t xml:space="preserve"> </w:t>
      </w:r>
      <w:r>
        <w:rPr>
          <w:rFonts w:hint="eastAsia"/>
        </w:rPr>
        <w:t>是供查阅工程技术领域文献的综合性情报检索数据库，涵盖领域：动力、电工、电子、自动控制、矿冶、金属工艺、机械制造、管理、土建、水利、教育工程等。</w:t>
      </w:r>
    </w:p>
  </w:footnote>
  <w:footnote w:id="3">
    <w:p>
      <w:pPr>
        <w:pStyle w:val="5"/>
        <w:rPr>
          <w:rFonts w:hint="eastAsia"/>
        </w:rPr>
      </w:pPr>
      <w:r>
        <w:rPr>
          <w:rStyle w:val="7"/>
        </w:rPr>
        <w:footnoteRef/>
      </w:r>
      <w:r>
        <w:t xml:space="preserve"> </w:t>
      </w:r>
      <w:r>
        <w:rPr>
          <w:rFonts w:hint="eastAsia"/>
        </w:rPr>
        <w:t>SCI</w:t>
      </w:r>
      <w:r>
        <w:t xml:space="preserve"> </w:t>
      </w:r>
      <w:r>
        <w:rPr>
          <w:rFonts w:hint="eastAsia"/>
        </w:rPr>
        <w:t>是目前国际上被公认的最具权威的科技文献检索工具，涵盖领域：数、理、化、农、林、医、生物等。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5BE2"/>
    <w:multiLevelType w:val="multilevel"/>
    <w:tmpl w:val="369D5BE2"/>
    <w:lvl w:ilvl="0" w:tentative="0">
      <w:start w:val="1"/>
      <w:numFmt w:val="japaneseCounting"/>
      <w:lvlText w:val="%1、"/>
      <w:lvlJc w:val="left"/>
      <w:pPr>
        <w:ind w:left="1290" w:hanging="720"/>
      </w:pPr>
      <w:rPr>
        <w:rFonts w:hint="default"/>
      </w:rPr>
    </w:lvl>
    <w:lvl w:ilvl="1" w:tentative="0">
      <w:start w:val="1"/>
      <w:numFmt w:val="japaneseCounting"/>
      <w:lvlText w:val="（%2）"/>
      <w:lvlJc w:val="left"/>
      <w:pPr>
        <w:ind w:left="2070" w:hanging="1080"/>
      </w:pPr>
      <w:rPr>
        <w:rFonts w:hint="default"/>
      </w:r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73BE1577"/>
    <w:multiLevelType w:val="multilevel"/>
    <w:tmpl w:val="73BE1577"/>
    <w:lvl w:ilvl="0" w:tentative="0">
      <w:start w:val="1"/>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9A"/>
    <w:rsid w:val="00006AAD"/>
    <w:rsid w:val="00017F52"/>
    <w:rsid w:val="00021180"/>
    <w:rsid w:val="000215DC"/>
    <w:rsid w:val="00050773"/>
    <w:rsid w:val="0008237A"/>
    <w:rsid w:val="000A26E1"/>
    <w:rsid w:val="000A7B0A"/>
    <w:rsid w:val="000B0CF4"/>
    <w:rsid w:val="000B1DB3"/>
    <w:rsid w:val="000B4FE3"/>
    <w:rsid w:val="000F0B3B"/>
    <w:rsid w:val="00123965"/>
    <w:rsid w:val="00134D1E"/>
    <w:rsid w:val="00144727"/>
    <w:rsid w:val="00170B8D"/>
    <w:rsid w:val="001834DF"/>
    <w:rsid w:val="0018397D"/>
    <w:rsid w:val="001969B5"/>
    <w:rsid w:val="001974C0"/>
    <w:rsid w:val="001A435B"/>
    <w:rsid w:val="001B3618"/>
    <w:rsid w:val="001C02BC"/>
    <w:rsid w:val="001C3883"/>
    <w:rsid w:val="001D724E"/>
    <w:rsid w:val="001E27CE"/>
    <w:rsid w:val="00205306"/>
    <w:rsid w:val="002076A1"/>
    <w:rsid w:val="0022022C"/>
    <w:rsid w:val="00255C64"/>
    <w:rsid w:val="0027090B"/>
    <w:rsid w:val="00282771"/>
    <w:rsid w:val="00284904"/>
    <w:rsid w:val="00284F81"/>
    <w:rsid w:val="00294C2C"/>
    <w:rsid w:val="002A1308"/>
    <w:rsid w:val="002A6BA5"/>
    <w:rsid w:val="002B7E49"/>
    <w:rsid w:val="002C3AAA"/>
    <w:rsid w:val="002C78AF"/>
    <w:rsid w:val="002D25D4"/>
    <w:rsid w:val="002E0FD0"/>
    <w:rsid w:val="002F0E7C"/>
    <w:rsid w:val="00303C22"/>
    <w:rsid w:val="0031487A"/>
    <w:rsid w:val="00333A9A"/>
    <w:rsid w:val="00335032"/>
    <w:rsid w:val="00365D7D"/>
    <w:rsid w:val="00396FC3"/>
    <w:rsid w:val="003A2624"/>
    <w:rsid w:val="003A38D7"/>
    <w:rsid w:val="003B0299"/>
    <w:rsid w:val="003D127C"/>
    <w:rsid w:val="003E63BB"/>
    <w:rsid w:val="00401F5D"/>
    <w:rsid w:val="004130A0"/>
    <w:rsid w:val="0042309A"/>
    <w:rsid w:val="004316B0"/>
    <w:rsid w:val="00443282"/>
    <w:rsid w:val="00451C13"/>
    <w:rsid w:val="00466488"/>
    <w:rsid w:val="004708BA"/>
    <w:rsid w:val="00491710"/>
    <w:rsid w:val="004A29B0"/>
    <w:rsid w:val="004B3AA1"/>
    <w:rsid w:val="004D054E"/>
    <w:rsid w:val="004D06CE"/>
    <w:rsid w:val="004D17A0"/>
    <w:rsid w:val="004E7719"/>
    <w:rsid w:val="004F412C"/>
    <w:rsid w:val="0050345E"/>
    <w:rsid w:val="005732CA"/>
    <w:rsid w:val="005B01B4"/>
    <w:rsid w:val="005B069A"/>
    <w:rsid w:val="005B09DA"/>
    <w:rsid w:val="005B716C"/>
    <w:rsid w:val="005C03C3"/>
    <w:rsid w:val="005C2DC7"/>
    <w:rsid w:val="005C6BD7"/>
    <w:rsid w:val="005C753E"/>
    <w:rsid w:val="005E1183"/>
    <w:rsid w:val="005E6B32"/>
    <w:rsid w:val="005E6F48"/>
    <w:rsid w:val="005E75B8"/>
    <w:rsid w:val="005F10DC"/>
    <w:rsid w:val="0060555A"/>
    <w:rsid w:val="00615EA1"/>
    <w:rsid w:val="00624854"/>
    <w:rsid w:val="00632A27"/>
    <w:rsid w:val="00637D02"/>
    <w:rsid w:val="00637E70"/>
    <w:rsid w:val="00660818"/>
    <w:rsid w:val="0067106A"/>
    <w:rsid w:val="00680FA2"/>
    <w:rsid w:val="006912E2"/>
    <w:rsid w:val="006955BB"/>
    <w:rsid w:val="006A205D"/>
    <w:rsid w:val="006C46BF"/>
    <w:rsid w:val="006C4F3E"/>
    <w:rsid w:val="006C4FA1"/>
    <w:rsid w:val="006E3D5C"/>
    <w:rsid w:val="006E6F32"/>
    <w:rsid w:val="00700727"/>
    <w:rsid w:val="00702FB9"/>
    <w:rsid w:val="00704D78"/>
    <w:rsid w:val="00705703"/>
    <w:rsid w:val="00717D47"/>
    <w:rsid w:val="0072219C"/>
    <w:rsid w:val="00722AFC"/>
    <w:rsid w:val="00730E27"/>
    <w:rsid w:val="0073634A"/>
    <w:rsid w:val="007417AA"/>
    <w:rsid w:val="00746F8F"/>
    <w:rsid w:val="0076008C"/>
    <w:rsid w:val="007629E3"/>
    <w:rsid w:val="00765B70"/>
    <w:rsid w:val="007835BA"/>
    <w:rsid w:val="007844E9"/>
    <w:rsid w:val="00797939"/>
    <w:rsid w:val="00797E62"/>
    <w:rsid w:val="007A1191"/>
    <w:rsid w:val="007B4D65"/>
    <w:rsid w:val="007C4705"/>
    <w:rsid w:val="0080427E"/>
    <w:rsid w:val="00805CB8"/>
    <w:rsid w:val="0081245E"/>
    <w:rsid w:val="00823439"/>
    <w:rsid w:val="00835ED3"/>
    <w:rsid w:val="0083700E"/>
    <w:rsid w:val="00837195"/>
    <w:rsid w:val="00840411"/>
    <w:rsid w:val="00840640"/>
    <w:rsid w:val="00853E7F"/>
    <w:rsid w:val="00873609"/>
    <w:rsid w:val="00883CC5"/>
    <w:rsid w:val="00887ED4"/>
    <w:rsid w:val="00891914"/>
    <w:rsid w:val="008A0872"/>
    <w:rsid w:val="008A1B3A"/>
    <w:rsid w:val="008A3EAB"/>
    <w:rsid w:val="008A759D"/>
    <w:rsid w:val="008A7D84"/>
    <w:rsid w:val="008B01FD"/>
    <w:rsid w:val="008C0B28"/>
    <w:rsid w:val="008C3032"/>
    <w:rsid w:val="008E1487"/>
    <w:rsid w:val="008E2D63"/>
    <w:rsid w:val="008E2E12"/>
    <w:rsid w:val="009018F5"/>
    <w:rsid w:val="00903660"/>
    <w:rsid w:val="00911E45"/>
    <w:rsid w:val="00933324"/>
    <w:rsid w:val="009355F6"/>
    <w:rsid w:val="009514BA"/>
    <w:rsid w:val="00957A83"/>
    <w:rsid w:val="00967E8B"/>
    <w:rsid w:val="00980410"/>
    <w:rsid w:val="00982E51"/>
    <w:rsid w:val="009A15D6"/>
    <w:rsid w:val="009B110B"/>
    <w:rsid w:val="009B2CF5"/>
    <w:rsid w:val="009B7761"/>
    <w:rsid w:val="009D3652"/>
    <w:rsid w:val="009E3954"/>
    <w:rsid w:val="009F251B"/>
    <w:rsid w:val="00A17BD3"/>
    <w:rsid w:val="00A3034A"/>
    <w:rsid w:val="00A3075C"/>
    <w:rsid w:val="00A31781"/>
    <w:rsid w:val="00A340C9"/>
    <w:rsid w:val="00A45F54"/>
    <w:rsid w:val="00A461FF"/>
    <w:rsid w:val="00A52393"/>
    <w:rsid w:val="00A52D17"/>
    <w:rsid w:val="00A64DEC"/>
    <w:rsid w:val="00A67CF8"/>
    <w:rsid w:val="00A77F9A"/>
    <w:rsid w:val="00A81D3A"/>
    <w:rsid w:val="00A85E17"/>
    <w:rsid w:val="00A93E10"/>
    <w:rsid w:val="00AA525C"/>
    <w:rsid w:val="00AA7EFF"/>
    <w:rsid w:val="00AB4C72"/>
    <w:rsid w:val="00AC053A"/>
    <w:rsid w:val="00AC30BB"/>
    <w:rsid w:val="00AC4626"/>
    <w:rsid w:val="00AD1D26"/>
    <w:rsid w:val="00AE0466"/>
    <w:rsid w:val="00AE607A"/>
    <w:rsid w:val="00B16EC5"/>
    <w:rsid w:val="00B1710D"/>
    <w:rsid w:val="00B22D40"/>
    <w:rsid w:val="00B367C5"/>
    <w:rsid w:val="00B41EBB"/>
    <w:rsid w:val="00B42ADE"/>
    <w:rsid w:val="00B53AAE"/>
    <w:rsid w:val="00B71DFE"/>
    <w:rsid w:val="00B74A53"/>
    <w:rsid w:val="00B820B7"/>
    <w:rsid w:val="00B96EF4"/>
    <w:rsid w:val="00BA1840"/>
    <w:rsid w:val="00BA4897"/>
    <w:rsid w:val="00BA7007"/>
    <w:rsid w:val="00BC0C69"/>
    <w:rsid w:val="00BC3A56"/>
    <w:rsid w:val="00BC3ECA"/>
    <w:rsid w:val="00BD0415"/>
    <w:rsid w:val="00BD1A75"/>
    <w:rsid w:val="00BD7839"/>
    <w:rsid w:val="00BE0638"/>
    <w:rsid w:val="00BE37E0"/>
    <w:rsid w:val="00BE6741"/>
    <w:rsid w:val="00BF26AA"/>
    <w:rsid w:val="00C009DF"/>
    <w:rsid w:val="00C0191C"/>
    <w:rsid w:val="00C14D86"/>
    <w:rsid w:val="00C267CE"/>
    <w:rsid w:val="00C26A56"/>
    <w:rsid w:val="00C31C7C"/>
    <w:rsid w:val="00C3269D"/>
    <w:rsid w:val="00C40904"/>
    <w:rsid w:val="00C440FF"/>
    <w:rsid w:val="00C462D4"/>
    <w:rsid w:val="00C476BD"/>
    <w:rsid w:val="00C672D0"/>
    <w:rsid w:val="00C74655"/>
    <w:rsid w:val="00C83CE6"/>
    <w:rsid w:val="00C84D88"/>
    <w:rsid w:val="00CC1349"/>
    <w:rsid w:val="00CF3D20"/>
    <w:rsid w:val="00CF65A0"/>
    <w:rsid w:val="00D23A5D"/>
    <w:rsid w:val="00D34E0E"/>
    <w:rsid w:val="00D41E38"/>
    <w:rsid w:val="00D425EE"/>
    <w:rsid w:val="00D5075A"/>
    <w:rsid w:val="00D55969"/>
    <w:rsid w:val="00D72F1F"/>
    <w:rsid w:val="00D850AC"/>
    <w:rsid w:val="00D87395"/>
    <w:rsid w:val="00D966B6"/>
    <w:rsid w:val="00DB1E3D"/>
    <w:rsid w:val="00DC40A1"/>
    <w:rsid w:val="00DE1597"/>
    <w:rsid w:val="00DE5BBA"/>
    <w:rsid w:val="00DF2D9A"/>
    <w:rsid w:val="00E101A4"/>
    <w:rsid w:val="00E105CC"/>
    <w:rsid w:val="00E106D2"/>
    <w:rsid w:val="00E16064"/>
    <w:rsid w:val="00E42A37"/>
    <w:rsid w:val="00E461F1"/>
    <w:rsid w:val="00E80F6D"/>
    <w:rsid w:val="00E84AE1"/>
    <w:rsid w:val="00E86B52"/>
    <w:rsid w:val="00ED0DE3"/>
    <w:rsid w:val="00EE0228"/>
    <w:rsid w:val="00F11D77"/>
    <w:rsid w:val="00F22D45"/>
    <w:rsid w:val="00F23D62"/>
    <w:rsid w:val="00F264FB"/>
    <w:rsid w:val="00FA1181"/>
    <w:rsid w:val="00FA4F61"/>
    <w:rsid w:val="00FC3BEA"/>
    <w:rsid w:val="00FC565B"/>
    <w:rsid w:val="00FD6090"/>
    <w:rsid w:val="0FB601F1"/>
    <w:rsid w:val="29A54BFA"/>
    <w:rsid w:val="451B763E"/>
    <w:rsid w:val="4D1D6DDA"/>
    <w:rsid w:val="64ED00C6"/>
    <w:rsid w:val="7C4C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9">
    <w:name w:val="List Paragraph"/>
    <w:basedOn w:val="1"/>
    <w:qFormat/>
    <w:uiPriority w:val="34"/>
    <w:pPr>
      <w:ind w:firstLine="420" w:firstLineChars="200"/>
    </w:p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批注框文本 字符"/>
    <w:basedOn w:val="6"/>
    <w:link w:val="2"/>
    <w:semiHidden/>
    <w:uiPriority w:val="99"/>
    <w:rPr>
      <w:sz w:val="18"/>
      <w:szCs w:val="18"/>
    </w:rPr>
  </w:style>
  <w:style w:type="character" w:customStyle="1" w:styleId="13">
    <w:name w:val="脚注文本 字符"/>
    <w:basedOn w:val="6"/>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05FE-ACDA-8F40-860F-357DB335E20C}">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659</Words>
  <Characters>3759</Characters>
  <Lines>31</Lines>
  <Paragraphs>8</Paragraphs>
  <TotalTime>12</TotalTime>
  <ScaleCrop>false</ScaleCrop>
  <LinksUpToDate>false</LinksUpToDate>
  <CharactersWithSpaces>4410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2020-07-20T01:15:00Z</dcterms:created>
  <dc:creator>len</dc:creator>
  <cp:lastModifiedBy>梁智宇</cp:lastModifiedBy>
  <dcterms:modified xsi:type="dcterms:W3CDTF">2020-07-24T08:15:07Z</dcterms:modified>
  <dc:title>《中山市企业紧缺适用高层次人才评定体系》</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