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关于调整我市企业职工基本养老保险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单位缴费比例的起草说明</w:t>
      </w:r>
    </w:p>
    <w:bookmarkEnd w:id="1"/>
    <w:p>
      <w:pPr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我局制定了《关于调整我市企业职工基本养老保险单位缴费比例的通知（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广东省行政规范文件管理规定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粤府令第277号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）规定，就文件制定事宜说明如下：</w:t>
      </w:r>
    </w:p>
    <w:p>
      <w:p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spacing w:line="560" w:lineRule="exact"/>
        <w:ind w:firstLine="688" w:firstLineChars="200"/>
        <w:rPr>
          <w:rFonts w:hint="eastAsia"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2019年4月，国务院办公厅出台《关于印发降低社会保险费率综合方案的通知》（国办发〔2019〕13号），规定“</w:t>
      </w:r>
      <w:r>
        <w:rPr>
          <w:rFonts w:hint="eastAsia" w:ascii="仿宋_GB2312" w:eastAsia="仿宋_GB2312"/>
          <w:color w:val="333333"/>
          <w:spacing w:val="12"/>
          <w:sz w:val="32"/>
          <w:szCs w:val="32"/>
        </w:rPr>
        <w:t>各省、自治区、直辖市及新疆生产建设兵团（以下统称省）养老保险单位缴费比例高于16%的，可降至16%；目前低于16%的，要研究提出过渡办法。</w:t>
      </w:r>
      <w:r>
        <w:rPr>
          <w:rFonts w:hint="eastAsia" w:ascii="仿宋_GB2312" w:eastAsia="仿宋_GB2312"/>
          <w:spacing w:val="12"/>
          <w:sz w:val="32"/>
          <w:szCs w:val="32"/>
        </w:rPr>
        <w:t>”</w:t>
      </w:r>
    </w:p>
    <w:p>
      <w:pPr>
        <w:spacing w:line="560" w:lineRule="exact"/>
        <w:ind w:firstLine="6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pacing w:val="12"/>
          <w:sz w:val="32"/>
          <w:szCs w:val="32"/>
        </w:rPr>
        <w:t>年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pacing w:val="12"/>
          <w:sz w:val="32"/>
          <w:szCs w:val="32"/>
        </w:rPr>
        <w:t>月，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经省政府同意，</w:t>
      </w:r>
      <w:r>
        <w:rPr>
          <w:rFonts w:hint="eastAsia" w:ascii="仿宋_GB2312" w:eastAsia="仿宋_GB2312"/>
          <w:spacing w:val="12"/>
          <w:sz w:val="32"/>
          <w:szCs w:val="32"/>
        </w:rPr>
        <w:t>省人力资源社会保障厅、省财政厅、省税务局联合印发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《关于印发广东省规范企业职工基本养老保险省级统筹制度实施意见》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粤人社规</w:t>
      </w:r>
      <w:r>
        <w:rPr>
          <w:rFonts w:hint="eastAsia" w:ascii="仿宋_GB2312" w:eastAsia="仿宋_GB2312"/>
          <w:spacing w:val="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/>
          <w:spacing w:val="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53号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），明确规定“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2021年底前将全省单位缴费比例调整为16%，从202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年1月1日起实施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numPr>
          <w:ilvl w:val="0"/>
          <w:numId w:val="1"/>
        </w:num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文件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及依据</w:t>
      </w:r>
    </w:p>
    <w:p>
      <w:pPr>
        <w:numPr>
          <w:ilvl w:val="0"/>
          <w:numId w:val="0"/>
        </w:numPr>
        <w:spacing w:line="560" w:lineRule="exact"/>
        <w:ind w:firstLine="616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（一）主要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内容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hAnsi="仿宋_GB2312" w:cs="仿宋_GB2312"/>
          <w:sz w:val="32"/>
          <w:szCs w:val="32"/>
          <w:lang w:eastAsia="zh-CN"/>
        </w:rPr>
        <w:t>主要内容是：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从</w:t>
      </w:r>
      <w:r>
        <w:rPr>
          <w:rFonts w:ascii="仿宋_GB2312" w:hAnsi="宋体" w:eastAsia="仿宋_GB2312"/>
          <w:spacing w:val="12"/>
          <w:sz w:val="32"/>
          <w:szCs w:val="32"/>
        </w:rPr>
        <w:t>202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年</w:t>
      </w:r>
      <w:r>
        <w:rPr>
          <w:rFonts w:ascii="仿宋_GB2312" w:hAnsi="宋体" w:eastAsia="仿宋_GB2312"/>
          <w:spacing w:val="12"/>
          <w:sz w:val="32"/>
          <w:szCs w:val="32"/>
        </w:rPr>
        <w:t>1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月</w:t>
      </w:r>
      <w:r>
        <w:rPr>
          <w:rFonts w:ascii="仿宋_GB2312" w:hAnsi="宋体" w:eastAsia="仿宋_GB2312"/>
          <w:spacing w:val="12"/>
          <w:sz w:val="32"/>
          <w:szCs w:val="32"/>
        </w:rPr>
        <w:t>1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我市</w:t>
      </w:r>
      <w:r>
        <w:rPr>
          <w:rFonts w:hint="eastAsia" w:ascii="仿宋_GB2312" w:hAnsi="宋体" w:eastAsia="仿宋_GB2312"/>
          <w:snapToGrid w:val="0"/>
          <w:spacing w:val="12"/>
          <w:kern w:val="0"/>
          <w:sz w:val="32"/>
          <w:szCs w:val="32"/>
        </w:rPr>
        <w:t>企业职工基本养老保险单位缴费比例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从1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%调整为1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spacing w:line="560" w:lineRule="exact"/>
        <w:ind w:firstLine="688" w:firstLineChars="200"/>
        <w:rPr>
          <w:rFonts w:hint="eastAsia" w:ascii="仿宋_GB2312" w:eastAsia="仿宋_GB2312"/>
          <w:spacing w:val="12"/>
          <w:sz w:val="32"/>
          <w:szCs w:val="32"/>
          <w:lang w:eastAsia="zh-CN"/>
        </w:rPr>
      </w:pPr>
      <w:bookmarkStart w:id="0" w:name="title"/>
      <w:r>
        <w:rPr>
          <w:rFonts w:hint="eastAsia"/>
          <w:spacing w:val="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pacing w:val="12"/>
          <w:sz w:val="32"/>
          <w:szCs w:val="32"/>
        </w:rPr>
        <w:t>《关于印发降低社会保险费率综合方案的通知》（国办发〔2019〕13号）</w:t>
      </w:r>
      <w:r>
        <w:rPr>
          <w:rFonts w:hint="eastAsia"/>
          <w:spacing w:val="12"/>
          <w:sz w:val="32"/>
          <w:szCs w:val="32"/>
          <w:lang w:eastAsia="zh-CN"/>
        </w:rPr>
        <w:t>；</w:t>
      </w:r>
    </w:p>
    <w:bookmarkEnd w:id="0"/>
    <w:p>
      <w:p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《关于印发广东省规范企业职工基本养老保险省级统筹制度实施意见》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粤人社规</w:t>
      </w:r>
      <w:r>
        <w:rPr>
          <w:rFonts w:hint="eastAsia" w:ascii="仿宋_GB2312" w:eastAsia="仿宋_GB2312"/>
          <w:spacing w:val="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/>
          <w:spacing w:val="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53号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起草说明</w:t>
      </w:r>
    </w:p>
    <w:p>
      <w:pPr>
        <w:spacing w:line="560" w:lineRule="exact"/>
        <w:ind w:firstLine="616" w:firstLineChars="200"/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  <w:lang w:eastAsia="zh-CN"/>
        </w:rPr>
      </w:pPr>
      <w:r>
        <w:rPr>
          <w:rFonts w:hint="eastAsia" w:ascii="华光楷体_CNKI" w:hAnsi="华光楷体_CNKI" w:eastAsia="华光楷体_CNKI" w:cs="华光楷体_CNKI"/>
          <w:sz w:val="32"/>
          <w:lang w:eastAsia="zh-CN"/>
        </w:rPr>
        <w:t>（一）外省</w:t>
      </w:r>
      <w:r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</w:rPr>
        <w:t>企业职工基本养老保险单位缴费比例</w:t>
      </w:r>
      <w:r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  <w:lang w:eastAsia="zh-CN"/>
        </w:rPr>
        <w:t>情况</w:t>
      </w:r>
    </w:p>
    <w:p>
      <w:pPr>
        <w:spacing w:beforeLines="0" w:afterLines="0"/>
        <w:ind w:firstLine="616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目前，全国</w:t>
      </w:r>
      <w:r>
        <w:rPr>
          <w:rFonts w:hint="eastAsia" w:ascii="TimesNewRomanPSMT" w:hAnsi="TimesNewRomanPSMT" w:eastAsia="TimesNewRomanPSMT"/>
          <w:sz w:val="32"/>
        </w:rPr>
        <w:t xml:space="preserve">31 </w:t>
      </w:r>
      <w:r>
        <w:rPr>
          <w:rFonts w:hint="eastAsia" w:ascii="仿宋_GB2312" w:hAnsi="仿宋_GB2312" w:eastAsia="仿宋_GB2312"/>
          <w:sz w:val="32"/>
        </w:rPr>
        <w:t>个省份中，</w:t>
      </w:r>
      <w:r>
        <w:rPr>
          <w:rFonts w:hint="eastAsia" w:ascii="TimesNewRomanPSMT" w:hAnsi="TimesNewRomanPSMT" w:eastAsia="TimesNewRomanPSMT"/>
          <w:sz w:val="32"/>
        </w:rPr>
        <w:t xml:space="preserve">29 </w:t>
      </w:r>
      <w:r>
        <w:rPr>
          <w:rFonts w:hint="eastAsia" w:ascii="仿宋_GB2312" w:hAnsi="仿宋_GB2312" w:eastAsia="仿宋_GB2312"/>
          <w:sz w:val="32"/>
        </w:rPr>
        <w:t>个省份的企业职工基本养</w:t>
      </w:r>
    </w:p>
    <w:p>
      <w:pPr>
        <w:spacing w:beforeLines="0" w:afterLines="0"/>
        <w:jc w:val="left"/>
        <w:rPr>
          <w:rFonts w:hint="eastAsia" w:hAnsi="宋体"/>
          <w:snapToGrid w:val="0"/>
          <w:spacing w:val="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老保险单位缴费比例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已经按照国家要求</w:t>
      </w:r>
      <w:r>
        <w:rPr>
          <w:rFonts w:hint="eastAsia" w:hAnsi="宋体"/>
          <w:snapToGrid w:val="0"/>
          <w:spacing w:val="12"/>
          <w:kern w:val="0"/>
          <w:sz w:val="32"/>
          <w:szCs w:val="32"/>
          <w:lang w:eastAsia="zh-CN"/>
        </w:rPr>
        <w:t>调至</w:t>
      </w:r>
      <w:r>
        <w:rPr>
          <w:rFonts w:hint="eastAsia" w:hAnsi="宋体"/>
          <w:snapToGrid w:val="0"/>
          <w:spacing w:val="12"/>
          <w:kern w:val="0"/>
          <w:sz w:val="32"/>
          <w:szCs w:val="32"/>
          <w:lang w:val="en-US" w:eastAsia="zh-CN"/>
        </w:rPr>
        <w:t>16%，</w:t>
      </w:r>
      <w:r>
        <w:rPr>
          <w:rFonts w:hint="eastAsia" w:hAnsi="仿宋_GB2312"/>
          <w:sz w:val="32"/>
          <w:lang w:eastAsia="zh-CN"/>
        </w:rPr>
        <w:t>我省</w:t>
      </w:r>
      <w:r>
        <w:rPr>
          <w:rFonts w:hint="eastAsia" w:ascii="仿宋_GB2312" w:hAnsi="仿宋_GB2312" w:eastAsia="仿宋_GB2312"/>
          <w:sz w:val="32"/>
        </w:rPr>
        <w:t>为</w:t>
      </w:r>
      <w:r>
        <w:rPr>
          <w:rFonts w:hint="eastAsia" w:ascii="TimesNewRomanPSMT" w:hAnsi="TimesNewRomanPSMT" w:eastAsia="TimesNewRomanPSMT"/>
          <w:sz w:val="32"/>
        </w:rPr>
        <w:t>14%</w:t>
      </w:r>
      <w:r>
        <w:rPr>
          <w:rFonts w:hint="eastAsia" w:ascii="仿宋_GB2312" w:hAnsi="仿宋_GB2312" w:eastAsia="仿宋_GB2312"/>
          <w:sz w:val="32"/>
        </w:rPr>
        <w:t>。</w:t>
      </w:r>
      <w:r>
        <w:rPr>
          <w:rFonts w:hint="eastAsia" w:hAnsi="宋体"/>
          <w:snapToGrid w:val="0"/>
          <w:spacing w:val="12"/>
          <w:kern w:val="0"/>
          <w:sz w:val="32"/>
          <w:szCs w:val="32"/>
          <w:lang w:val="en-US" w:eastAsia="zh-CN"/>
        </w:rPr>
        <w:t>外省调整和我省调整最大区别在于，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别的省是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高费率降至低费率，最多的是从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26%降低至16%。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外省现行费率情况如下图：</w:t>
      </w:r>
    </w:p>
    <w:p>
      <w:pPr>
        <w:pStyle w:val="2"/>
        <w:ind w:firstLine="736"/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  <w:lang w:val="en-US" w:eastAsia="zh-CN"/>
        </w:rPr>
      </w:pPr>
      <w:r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170180</wp:posOffset>
            </wp:positionV>
            <wp:extent cx="5439410" cy="3222625"/>
            <wp:effectExtent l="0" t="0" r="8890" b="15875"/>
            <wp:wrapTight wrapText="bothSides">
              <wp:wrapPolygon>
                <wp:start x="0" y="0"/>
                <wp:lineTo x="0" y="21451"/>
                <wp:lineTo x="21560" y="21451"/>
                <wp:lineTo x="21560" y="0"/>
                <wp:lineTo x="0" y="0"/>
              </wp:wrapPolygon>
            </wp:wrapTight>
            <wp:docPr id="1" name="图片 2" descr="外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外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光楷体_CNKI" w:hAnsi="华光楷体_CNKI" w:eastAsia="华光楷体_CNKI" w:cs="华光楷体_CNKI"/>
          <w:snapToGrid w:val="0"/>
          <w:spacing w:val="12"/>
          <w:kern w:val="0"/>
          <w:sz w:val="32"/>
          <w:szCs w:val="32"/>
          <w:lang w:val="en-US" w:eastAsia="zh-CN"/>
        </w:rPr>
        <w:t>（二）主要意义</w:t>
      </w:r>
    </w:p>
    <w:p>
      <w:pPr>
        <w:ind w:firstLine="616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hAnsi="仿宋_GB2312"/>
          <w:sz w:val="32"/>
          <w:lang w:eastAsia="zh-CN"/>
        </w:rPr>
        <w:t>《中华人民共和国社会保险法》明确规定基本养老保险基金逐步实行全国统筹。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统一企业养老保险单位缴费比例，是国家推进养老保险全国统筹的重要一步，</w:t>
      </w:r>
      <w:r>
        <w:rPr>
          <w:rFonts w:hint="eastAsia" w:hAnsi="仿宋_GB2312"/>
          <w:sz w:val="32"/>
          <w:lang w:eastAsia="zh-CN"/>
        </w:rPr>
        <w:t>是将来</w:t>
      </w:r>
      <w:r>
        <w:rPr>
          <w:rFonts w:hint="eastAsia" w:hAnsi="宋体"/>
          <w:snapToGrid w:val="0"/>
          <w:spacing w:val="12"/>
          <w:kern w:val="0"/>
          <w:sz w:val="32"/>
          <w:szCs w:val="32"/>
          <w:lang w:eastAsia="zh-CN"/>
        </w:rPr>
        <w:t>实现全国统筹的基础和必要举措</w:t>
      </w:r>
      <w:r>
        <w:rPr>
          <w:rFonts w:hint="eastAsia" w:ascii="仿宋_GB2312" w:hAnsi="仿宋_GB2312" w:eastAsia="仿宋_GB2312"/>
          <w:sz w:val="32"/>
        </w:rPr>
        <w:t>。养老保险统筹层次越高，统筹面越广，统筹效率也越高，</w:t>
      </w:r>
      <w:r>
        <w:rPr>
          <w:rFonts w:hint="eastAsia" w:hAnsi="仿宋_GB2312"/>
          <w:sz w:val="32"/>
          <w:lang w:eastAsia="zh-CN"/>
        </w:rPr>
        <w:t>制度</w:t>
      </w:r>
      <w:r>
        <w:rPr>
          <w:rFonts w:hint="eastAsia" w:ascii="仿宋_GB2312" w:hAnsi="仿宋_GB2312" w:eastAsia="仿宋_GB2312"/>
          <w:sz w:val="32"/>
        </w:rPr>
        <w:t>的互助性、共济性就越强，运行也越安全、越稳定。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我市须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按照国家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和省的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部署，完成统一缴费比例工作。</w:t>
      </w:r>
    </w:p>
    <w:p>
      <w:pPr>
        <w:spacing w:line="560" w:lineRule="exact"/>
        <w:ind w:firstLine="616" w:firstLineChars="200"/>
        <w:rPr>
          <w:rFonts w:hint="eastAsia" w:ascii="华光楷体_CNKI" w:hAnsi="华光楷体_CNKI" w:eastAsia="华光楷体_CNKI" w:cs="华光楷体_CNKI"/>
          <w:lang w:eastAsia="zh-CN"/>
        </w:rPr>
      </w:pPr>
      <w:r>
        <w:rPr>
          <w:rFonts w:hint="eastAsia" w:ascii="华光楷体_CNKI" w:hAnsi="华光楷体_CNKI" w:eastAsia="华光楷体_CNKI" w:cs="华光楷体_CNKI"/>
          <w:sz w:val="32"/>
          <w:lang w:eastAsia="zh-CN"/>
        </w:rPr>
        <w:t>（三）减少企业负担的对冲举措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88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t>考虑到企业缴费负担问题，</w:t>
      </w:r>
      <w:r>
        <w:rPr>
          <w:rFonts w:hint="eastAsia" w:hAnsi="宋体"/>
          <w:spacing w:val="12"/>
          <w:sz w:val="32"/>
          <w:szCs w:val="32"/>
          <w:lang w:val="en-US" w:eastAsia="zh-CN"/>
        </w:rPr>
        <w:t>全省</w:t>
      </w:r>
      <w:r>
        <w:rPr>
          <w:rFonts w:hint="eastAsia" w:ascii="仿宋_GB2312" w:hAnsi="仿宋_GB2312" w:eastAsia="仿宋_GB2312"/>
          <w:sz w:val="32"/>
        </w:rPr>
        <w:t>将采取失业保险费返还、发放就业创业补贴</w:t>
      </w:r>
      <w:r>
        <w:rPr>
          <w:rFonts w:hint="eastAsia" w:ascii="仿宋_GB2312" w:hAnsi="仿宋_GB2312" w:eastAsia="仿宋_GB2312"/>
          <w:sz w:val="32"/>
          <w:lang w:eastAsia="zh-CN"/>
        </w:rPr>
        <w:t>、技能提升培训</w:t>
      </w:r>
      <w:r>
        <w:rPr>
          <w:rFonts w:hint="eastAsia" w:ascii="仿宋_GB2312" w:hAnsi="仿宋_GB2312" w:eastAsia="仿宋_GB2312"/>
          <w:sz w:val="32"/>
        </w:rPr>
        <w:t>等</w:t>
      </w:r>
      <w:r>
        <w:rPr>
          <w:rFonts w:hint="eastAsia" w:hAnsi="仿宋_GB2312"/>
          <w:sz w:val="32"/>
          <w:lang w:eastAsia="zh-CN"/>
        </w:rPr>
        <w:t>系列</w:t>
      </w:r>
      <w:r>
        <w:rPr>
          <w:rFonts w:hint="eastAsia" w:ascii="仿宋_GB2312" w:hAnsi="仿宋_GB2312" w:eastAsia="仿宋_GB2312"/>
          <w:sz w:val="32"/>
        </w:rPr>
        <w:t>政策措施，适当减轻企业综合负担水平。</w:t>
      </w:r>
      <w:r>
        <w:rPr>
          <w:rFonts w:hint="eastAsia" w:ascii="仿宋_GB2312" w:hAnsi="仿宋_GB2312" w:eastAsia="仿宋_GB2312"/>
          <w:sz w:val="32"/>
          <w:lang w:eastAsia="zh-CN"/>
        </w:rPr>
        <w:t>拟</w:t>
      </w:r>
      <w:r>
        <w:rPr>
          <w:rFonts w:hint="eastAsia" w:hAnsi="仿宋_GB2312"/>
          <w:sz w:val="32"/>
          <w:lang w:eastAsia="zh-CN"/>
        </w:rPr>
        <w:t>继续采取具体</w:t>
      </w:r>
      <w:r>
        <w:rPr>
          <w:rFonts w:hint="eastAsia" w:ascii="仿宋_GB2312" w:hAnsi="仿宋_GB2312" w:eastAsia="仿宋_GB2312"/>
          <w:sz w:val="32"/>
        </w:rPr>
        <w:t>措施</w:t>
      </w:r>
      <w:r>
        <w:rPr>
          <w:rFonts w:hint="eastAsia" w:hAnsi="仿宋_GB2312"/>
          <w:sz w:val="32"/>
          <w:lang w:eastAsia="zh-CN"/>
        </w:rPr>
        <w:t>如下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楷体" w:hAnsi="楷体" w:eastAsia="楷体"/>
          <w:sz w:val="32"/>
        </w:rPr>
        <w:t>一是</w:t>
      </w:r>
      <w:r>
        <w:rPr>
          <w:rFonts w:hint="eastAsia" w:ascii="仿宋_GB2312" w:hAnsi="仿宋_GB2312" w:eastAsia="仿宋_GB2312"/>
          <w:sz w:val="32"/>
        </w:rPr>
        <w:t>持续实施失业保险</w:t>
      </w:r>
      <w:r>
        <w:rPr>
          <w:rFonts w:hint="eastAsia" w:ascii="仿宋_GB2312" w:hAnsi="仿宋_GB2312" w:eastAsia="仿宋_GB2312"/>
          <w:sz w:val="32"/>
          <w:lang w:eastAsia="zh-CN"/>
        </w:rPr>
        <w:t>费</w:t>
      </w:r>
      <w:r>
        <w:rPr>
          <w:rFonts w:hint="eastAsia" w:ascii="仿宋_GB2312" w:hAnsi="仿宋_GB2312" w:eastAsia="仿宋_GB2312"/>
          <w:sz w:val="32"/>
        </w:rPr>
        <w:t>返还政策，继续对不裁员、少裁员企业，按照上年度所缴失业保险费</w:t>
      </w:r>
      <w:r>
        <w:rPr>
          <w:rFonts w:hint="eastAsia" w:ascii="TimesNewRomanPSMT" w:hAnsi="TimesNewRomanPSMT"/>
          <w:sz w:val="32"/>
          <w:lang w:eastAsia="zh-CN"/>
        </w:rPr>
        <w:t>的一定</w:t>
      </w:r>
      <w:r>
        <w:rPr>
          <w:rFonts w:hint="eastAsia" w:ascii="仿宋_GB2312" w:hAnsi="仿宋_GB2312" w:eastAsia="仿宋_GB2312"/>
          <w:sz w:val="32"/>
        </w:rPr>
        <w:t>比例实施返还；</w:t>
      </w:r>
      <w:r>
        <w:rPr>
          <w:rFonts w:hint="eastAsia" w:ascii="楷体" w:hAnsi="楷体" w:eastAsia="楷体"/>
          <w:sz w:val="32"/>
        </w:rPr>
        <w:t>二是</w:t>
      </w:r>
      <w:r>
        <w:rPr>
          <w:rFonts w:hint="eastAsia" w:ascii="仿宋_GB2312" w:hAnsi="仿宋_GB2312" w:eastAsia="仿宋_GB2312"/>
          <w:sz w:val="32"/>
        </w:rPr>
        <w:t>结合往年政策落实情况，继续向符合条件的企业发放各类就业创业补贴；</w:t>
      </w:r>
      <w:r>
        <w:rPr>
          <w:rFonts w:hint="eastAsia" w:ascii="楷体" w:hAnsi="楷体" w:eastAsia="楷体"/>
          <w:sz w:val="32"/>
        </w:rPr>
        <w:t>三是</w:t>
      </w:r>
      <w:r>
        <w:rPr>
          <w:rFonts w:hint="eastAsia" w:ascii="仿宋_GB2312" w:hAnsi="仿宋_GB2312" w:eastAsia="仿宋_GB2312"/>
          <w:sz w:val="32"/>
        </w:rPr>
        <w:t>实施以工代训政策，</w:t>
      </w:r>
      <w:r>
        <w:rPr>
          <w:rFonts w:cs="Times New Roman"/>
          <w:kern w:val="2"/>
          <w:szCs w:val="32"/>
        </w:rPr>
        <w:t>对2020年底前已申请，符合稳岗扩岗专项支持条件的中小微企业，给予以工代训职业培训补贴</w:t>
      </w:r>
      <w:r>
        <w:rPr>
          <w:rFonts w:hint="eastAsia" w:cs="Times New Roman"/>
          <w:kern w:val="2"/>
          <w:szCs w:val="32"/>
        </w:rPr>
        <w:t>；四是继续执行阶段性降费政策；五是</w:t>
      </w:r>
      <w:r>
        <w:rPr>
          <w:rFonts w:hint="eastAsia" w:cs="Times New Roman"/>
          <w:kern w:val="2"/>
          <w:szCs w:val="32"/>
          <w:lang w:eastAsia="zh-CN"/>
        </w:rPr>
        <w:t>继续</w:t>
      </w:r>
      <w:r>
        <w:rPr>
          <w:rFonts w:cs="Times New Roman"/>
          <w:kern w:val="2"/>
          <w:szCs w:val="32"/>
        </w:rPr>
        <w:t>减收残疾人就业保障金</w:t>
      </w:r>
      <w:r>
        <w:rPr>
          <w:rFonts w:hint="eastAsia" w:cs="Times New Roman"/>
          <w:kern w:val="2"/>
          <w:szCs w:val="32"/>
          <w:lang w:eastAsia="zh-CN"/>
        </w:rPr>
        <w:t>，</w:t>
      </w:r>
      <w:r>
        <w:rPr>
          <w:rFonts w:cs="Times New Roman"/>
          <w:kern w:val="2"/>
          <w:szCs w:val="32"/>
        </w:rPr>
        <w:t>按不高于2017年征收标准征收残疾人就业保障金</w:t>
      </w:r>
      <w:r>
        <w:rPr>
          <w:rFonts w:hint="eastAsia" w:cs="Times New Roman"/>
          <w:kern w:val="2"/>
          <w:szCs w:val="32"/>
          <w:lang w:eastAsia="zh-CN"/>
        </w:rPr>
        <w:t>，</w:t>
      </w:r>
      <w:r>
        <w:rPr>
          <w:rFonts w:cs="Times New Roman"/>
          <w:kern w:val="2"/>
          <w:szCs w:val="32"/>
        </w:rPr>
        <w:t>落实分档征收和减缴缓缴免缴残疾人就业保障金政策</w:t>
      </w:r>
      <w:r>
        <w:rPr>
          <w:rFonts w:hint="eastAsia" w:cs="Times New Roman"/>
          <w:kern w:val="2"/>
          <w:szCs w:val="32"/>
          <w:lang w:eastAsia="zh-CN"/>
        </w:rPr>
        <w:t>。</w:t>
      </w:r>
      <w:r>
        <w:rPr>
          <w:rFonts w:hint="eastAsia" w:ascii="仿宋_GB2312" w:hAnsi="宋体" w:eastAsia="仿宋_GB2312"/>
          <w:spacing w:val="12"/>
          <w:sz w:val="32"/>
          <w:szCs w:val="32"/>
          <w:lang w:val="en-US" w:eastAsia="zh-CN"/>
        </w:rPr>
        <w:br w:type="textWrapping"/>
      </w:r>
    </w:p>
    <w:p/>
    <w:sectPr>
      <w:footerReference r:id="rId3" w:type="even"/>
      <w:footnotePr>
        <w:numFmt w:val="decimal"/>
      </w:footnotePr>
      <w:pgSz w:w="11906" w:h="16838"/>
      <w:pgMar w:top="2098" w:right="1701" w:bottom="1984" w:left="1701" w:header="1417" w:footer="1701" w:gutter="0"/>
      <w:cols w:space="720" w:num="1"/>
      <w:rtlGutter w:val="0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楷体_CNKI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3FCF"/>
    <w:multiLevelType w:val="singleLevel"/>
    <w:tmpl w:val="60373FC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874FA"/>
    <w:rsid w:val="265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2021-07-09T00:55:00Z</dcterms:created>
  <dc:creator>J</dc:creator>
  <cp:lastModifiedBy>J</cp:lastModifiedBy>
  <dcterms:modified xsi:type="dcterms:W3CDTF">2021-07-09T00:58:30Z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