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黑体_GBK"/>
          <w:color w:val="auto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shd w:val="clear" w:color="auto" w:fill="auto"/>
        </w:rPr>
        <w:t>附件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shd w:val="clear" w:color="auto" w:fill="auto"/>
          <w:lang w:val="en-US" w:eastAsia="zh-CN"/>
        </w:rPr>
        <w:t>2</w:t>
      </w:r>
    </w:p>
    <w:p>
      <w:pPr>
        <w:jc w:val="center"/>
        <w:rPr>
          <w:rFonts w:ascii="Times New Roman" w:hAnsi="Times New Roman" w:cs="Times New Roman"/>
          <w:color w:val="auto"/>
          <w:sz w:val="44"/>
          <w:szCs w:val="44"/>
          <w:shd w:val="clear" w:color="auto" w:fill="auto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shd w:val="clear" w:color="auto" w:fill="auto"/>
          <w:lang w:eastAsia="zh-CN"/>
        </w:rPr>
        <w:t>中山市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auto"/>
        </w:rPr>
        <w:t>企业培训中心培训质量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shd w:val="clear" w:color="auto" w:fill="auto"/>
          <w:lang w:eastAsia="zh-CN"/>
        </w:rPr>
        <w:t>自评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shd w:val="clear" w:color="auto" w:fill="auto"/>
        </w:rPr>
        <w:t>表</w:t>
      </w:r>
    </w:p>
    <w:bookmarkEnd w:id="0"/>
    <w:p>
      <w:pPr>
        <w:ind w:firstLine="480" w:firstLineChars="200"/>
        <w:rPr>
          <w:rFonts w:ascii="Times New Roman" w:hAnsi="Times New Roman"/>
          <w:color w:val="auto"/>
          <w:sz w:val="24"/>
          <w:szCs w:val="24"/>
          <w:shd w:val="clear" w:color="auto" w:fill="auto"/>
        </w:rPr>
      </w:pPr>
      <w:r>
        <w:rPr>
          <w:rFonts w:hint="eastAsia" w:ascii="Times New Roman" w:hAnsi="Times New Roman"/>
          <w:color w:val="auto"/>
          <w:sz w:val="24"/>
          <w:szCs w:val="24"/>
          <w:shd w:val="clear" w:color="auto" w:fill="auto"/>
        </w:rPr>
        <w:t>单位名称：</w:t>
      </w:r>
    </w:p>
    <w:tbl>
      <w:tblPr>
        <w:tblStyle w:val="4"/>
        <w:tblW w:w="13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555"/>
        <w:gridCol w:w="1247"/>
        <w:gridCol w:w="795"/>
        <w:gridCol w:w="3555"/>
        <w:gridCol w:w="540"/>
        <w:gridCol w:w="513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tblHeader/>
          <w:jc w:val="center"/>
        </w:trPr>
        <w:tc>
          <w:tcPr>
            <w:tcW w:w="568" w:type="dxa"/>
            <w:tcBorders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  <w:t>序号</w:t>
            </w:r>
          </w:p>
        </w:tc>
        <w:tc>
          <w:tcPr>
            <w:tcW w:w="5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highlight w:val="none"/>
                <w:shd w:val="clear" w:color="auto" w:fill="auto"/>
              </w:rPr>
              <w:t>评估内容</w:t>
            </w:r>
          </w:p>
        </w:tc>
        <w:tc>
          <w:tcPr>
            <w:tcW w:w="1247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Cs w:val="21"/>
                <w:highlight w:val="none"/>
                <w:shd w:val="clear" w:color="auto" w:fill="auto"/>
              </w:rPr>
              <w:t>评估项目</w:t>
            </w:r>
          </w:p>
        </w:tc>
        <w:tc>
          <w:tcPr>
            <w:tcW w:w="7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  <w:t>总分值</w:t>
            </w:r>
          </w:p>
        </w:tc>
        <w:tc>
          <w:tcPr>
            <w:tcW w:w="35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  <w:t>评分内容</w:t>
            </w:r>
          </w:p>
        </w:tc>
        <w:tc>
          <w:tcPr>
            <w:tcW w:w="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  <w:t>分值</w:t>
            </w:r>
          </w:p>
        </w:tc>
        <w:tc>
          <w:tcPr>
            <w:tcW w:w="51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  <w:t>评分方法</w:t>
            </w:r>
          </w:p>
        </w:tc>
        <w:tc>
          <w:tcPr>
            <w:tcW w:w="630" w:type="dxa"/>
            <w:tcBorders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ascii="Times New Roman" w:hAnsi="Times New Roman" w:cs="Times New Roman"/>
                <w:b/>
                <w:bCs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Cs w:val="21"/>
                <w:highlight w:val="none"/>
                <w:shd w:val="clear" w:color="auto" w:fill="auto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68" w:type="dxa"/>
            <w:vMerge w:val="restart"/>
            <w:tcBorders>
              <w:top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  <w:t>一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  <w:t>组织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  <w:t>管理</w:t>
            </w: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  <w:t>人员组织</w:t>
            </w:r>
          </w:p>
        </w:tc>
        <w:tc>
          <w:tcPr>
            <w:tcW w:w="795" w:type="dxa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8</w:t>
            </w:r>
          </w:p>
        </w:tc>
        <w:tc>
          <w:tcPr>
            <w:tcW w:w="3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textAlignment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  <w:t>企业培训中心设有专门组织机构负责培训项目的管理和协调。</w:t>
            </w:r>
          </w:p>
        </w:tc>
        <w:tc>
          <w:tcPr>
            <w:tcW w:w="5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  <w:t>4</w:t>
            </w:r>
          </w:p>
        </w:tc>
        <w:tc>
          <w:tcPr>
            <w:tcW w:w="513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textAlignment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  <w:t>设有企业培训中心专门机构记4分，未设立专门机构的记0分。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68" w:type="dxa"/>
            <w:vMerge w:val="continue"/>
            <w:tcBorders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79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textAlignment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  <w:t>人员分工明确，责任到人。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  <w:t>4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textAlignment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  <w:t>人员有具体分工，记2分，否则不记分；责任到人，记2分，否则记0分。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568" w:type="dxa"/>
            <w:vMerge w:val="restart"/>
            <w:tcBorders>
              <w:top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二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制度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建设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项目制度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8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textAlignment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  <w:t>培训管理、财务管理、资产管理、风险管理等制度健全，运行规范。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  <w:t>4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textAlignment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  <w:t>制度文件及相关资料完整记4分，不完整的，每少一项扣1分。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56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55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项目档案</w:t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textAlignment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  <w:t>培训计划、培训档案及相关资料完整。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  <w:t>4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（1）学员底册、报名登记表、培训协议齐全规范记2分否则记0分。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（2）培训计划、大纲齐全记2分，否则记0分。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568" w:type="dxa"/>
            <w:vMerge w:val="restart"/>
            <w:tcBorders>
              <w:top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三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培训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能力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培训场地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38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（1）企业培训中心培训场地与培训项目相适应，设施设备与培训规模相匹配，面积不少于200平方米。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企业公共实训基地具备相对独立的培训场地，面积一般不低于500平方米。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textAlignment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（2）多媒体教学设备齐全（电脑、音响、投影、摄录监控、黑板）。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  <w:t>6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（1）培训场地符合标准的记4分，否则记0分。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textAlignment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（2）多媒体教学设备齐全记2分，基本齐全扣1分，无设备记0分。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568" w:type="dxa"/>
            <w:vMerge w:val="continue"/>
            <w:tcBorders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555" w:type="dxa"/>
            <w:vMerge w:val="continue"/>
            <w:tcBorders>
              <w:left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实训场地和设施</w:t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（1）实训场地、设备、设施与专业配套，数量能满足训练需要。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（2）主要实训设备具有一定先进性。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（3）实训设备完好率达到90%以上。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（4）有满足实训需要的工具、仪器、仪表、材料和用具。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  <w:t>10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（1）场地能满足专业训练要求记4分，基本满足扣2分，不能满足记0分。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（2）主要实训设备是目前企业生产使用的先进设备记2分，一般的扣1分。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（3）实训设备完好率达标记2分，基本达标扣1分，不达标记0分。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（4）工具、仪器仪表、原材料和用具能满足需要记2分，基本满足需要扣1分，不能满足记0分。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568" w:type="dxa"/>
            <w:vMerge w:val="continue"/>
            <w:tcBorders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555" w:type="dxa"/>
            <w:vMerge w:val="continue"/>
            <w:tcBorders>
              <w:left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师资管理</w:t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（1）具有科学合理且稳定的教师队伍。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（2）每个培训项目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  <w:lang w:eastAsia="zh-CN"/>
              </w:rPr>
              <w:t>至少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配备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名以上理论课教师和实训课教师，并根据培训规模增加教师人数。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（3）理论和实训教师均应达到相应的职业技能水平，或专业技术职称要求。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  <w:t>6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（1）教师队伍科学合理且稳定记2分，达不到记0分。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（2）教师人数达到要求记2分，达不到记0分。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textAlignment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（3）理论和实训教师的师资能力达到要求记2分，达不到记0分。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jc w:val="center"/>
        </w:trPr>
        <w:tc>
          <w:tcPr>
            <w:tcW w:w="568" w:type="dxa"/>
            <w:vMerge w:val="continue"/>
            <w:tcBorders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555" w:type="dxa"/>
            <w:vMerge w:val="continue"/>
            <w:tcBorders>
              <w:left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（1）教师应与经营范围的职业工种数量相对应。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（2）教师业务能力强，教学水平好。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（3）教师业务档案齐全、规范。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  <w:t>6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（1）教师与经营范围的职业工种对应的记2分，否则记0分。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（2）专职教师教学质量高记2分，否则记0分。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textAlignment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（3）教师档案齐全规范记2分，否则记0分。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56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55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培训管理</w:t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textAlignment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落实职业技能培训和安全教育课教学。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  <w:t>10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（1）使用正版教材记2分，否则记0分。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60" w:lineRule="exact"/>
              <w:textAlignment w:val="baseline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（2）理论、实训课时安排合理记5分，课堂管理混乱、未按课时要求上课的，记0分。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textAlignment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（3）安全教育课落实的记3分，否则记0分。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568" w:type="dxa"/>
            <w:vMerge w:val="restart"/>
            <w:tcBorders>
              <w:top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四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培训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数量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  <w:t>各职业（工种）培训情况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30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textAlignment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  <w:t>申报的各职业（工种）培训量占从业人数的比重。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  <w:t>15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textAlignment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  <w:t>比重都在79%以上的不扣分，有在60%-79%扣1-5分，有在30%-59%的扣6-10分，有在30%以下的扣11-15分。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56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55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  <w:t>申报的职业（工种）总培训人数情况</w:t>
            </w: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textAlignment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  <w:t>企业培训人数占企业在岗技能劳动者总数比重。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  <w:t>15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textAlignment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  <w:t>比重在79%以上的不扣分，在60%-79%扣1-4分，在30%-59%的扣5-8分，在10%-30%以下的扣9-12分，在10%以下的扣13-15分。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五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其他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情况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培训效果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16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textAlignment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培训效果反应良好，遵守法律法规。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  <w:t>16</w:t>
            </w:r>
          </w:p>
        </w:tc>
        <w:tc>
          <w:tcPr>
            <w:tcW w:w="5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wordWrap/>
              <w:overflowPunct/>
              <w:topLinePunct w:val="0"/>
              <w:bidi w:val="0"/>
              <w:adjustRightInd/>
              <w:snapToGrid/>
              <w:spacing w:line="260" w:lineRule="exact"/>
              <w:textAlignment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学员培训满意度达到90%记6分，否则计0分。</w:t>
            </w:r>
          </w:p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textAlignment w:val="center"/>
              <w:rPr>
                <w:rFonts w:ascii="Times New Roman" w:hAnsi="Times New Roman" w:cs="Times New Roman"/>
                <w:color w:val="auto"/>
                <w:kern w:val="0"/>
                <w:szCs w:val="21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  <w:t>（2）遵守法律法规记10分，否则计0分。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2390" w:type="dxa"/>
            <w:gridSpan w:val="7"/>
            <w:tcBorders>
              <w:top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auto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  <w:lang w:eastAsia="zh-CN"/>
              </w:rPr>
              <w:t>自评得分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napToGrid/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Cs w:val="21"/>
                <w:highlight w:val="none"/>
                <w:shd w:val="clear" w:color="auto" w:fill="auto"/>
              </w:rPr>
            </w:pPr>
          </w:p>
        </w:tc>
      </w:tr>
    </w:tbl>
    <w:p/>
    <w:sectPr>
      <w:pgSz w:w="16838" w:h="11906" w:orient="landscape"/>
      <w:pgMar w:top="1531" w:right="1440" w:bottom="153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00A4E8"/>
    <w:multiLevelType w:val="singleLevel"/>
    <w:tmpl w:val="C300A4E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A00EC"/>
    <w:rsid w:val="4D2606CF"/>
    <w:rsid w:val="5E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2022-06-06T03:26:00Z</dcterms:created>
  <dc:creator>Administrator</dc:creator>
  <cp:lastModifiedBy>Administrator</cp:lastModifiedBy>
  <dcterms:modified xsi:type="dcterms:W3CDTF">2022-06-06T03:27:15Z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