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  <w:t>中山市人力资源和社会保障局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行政处理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决定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 xml:space="preserve"> 中人社监字〔2023〕第00511号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被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季嵩麟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公民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身份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号码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350722********4219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事由：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不符合规定条件享受一次性创业资助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查，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被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创办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中山火炬开发区嵩麟便利商店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，于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2020年6月12日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经申请领取一次性创业资助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10000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元。另查，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被处理人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2020年3月25日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向我局申领一次性创业资助时，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中山火炬开发区嵩麟便利商店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已被市场监管部门列入“经营异常名录”，不符合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《广东省省级促进就业创业发展专项资金—公共就业创业服务资金管理办法》（2019年）第三章第十条第（十）项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的规定条件，属于《广东省实施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" w:eastAsia="zh-CN" w:bidi="ar-SA"/>
        </w:rPr>
        <w:t>&lt;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中华人民共和国就业促进法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" w:eastAsia="zh-CN" w:bidi="ar-SA"/>
        </w:rPr>
        <w:t>&gt;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办法》第五十八条第一款规定的不符合规定条件享受一次性创业资助情形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2023年4月30日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被处理人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送达《退款通知书》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被处理人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10日内退还上述资助至指定账户，截至2023年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被处理人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仍未按要求退还。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以上事实有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一次性创业资助申请材料、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退款通知书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市场监管部门“经营异常名录”信息、财政授权支付凭证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等证据证明。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《广东省实施&lt;中华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民共和国就业促进法&gt;办法》第五十八条第一款的规定，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我局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对被处理人作出如下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处理：责令限期退还一次性创业资助10000元。（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收款单位：中山市财政局；开户银行：中华人民共和国国家金库中山市中心支库；银行账号：191400000003271001；附注：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季嵩麟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退回一次性创业资助。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被处理人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应在接到本决定书之日起15日内履行完毕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逾期不履行本决定的，我局将依法申请人民法院强制执行。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/>
          <w:spacing w:val="1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如不服本决定，可于收到本决定书之日起60日内向                                  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中山市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人民政府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行政复议办公室（中山市司法局）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申请行政复议，或者在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个月内直接向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中山市第一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人民法院提起行政诉讼。行政复议或者行政诉讼期间，本决定不停止执行。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中山市人力资源和社会保障局</w:t>
      </w:r>
    </w:p>
    <w:p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    2023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76D30"/>
    <w:rsid w:val="03076D30"/>
    <w:rsid w:val="18F35924"/>
    <w:rsid w:val="39930F22"/>
    <w:rsid w:val="682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2023-07-06T06:59:00Z</dcterms:created>
  <dc:creator>林葳</dc:creator>
  <cp:lastModifiedBy>林葳</cp:lastModifiedBy>
  <dcterms:modified xsi:type="dcterms:W3CDTF">2023-07-06T07:02:49Z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