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20"/>
        <w:jc w:val="center"/>
        <w:rPr>
          <w:rFonts w:ascii="创艺简标宋" w:hAnsi="创艺简标宋" w:eastAsia="创艺简标宋" w:cs="创艺简标宋"/>
          <w:sz w:val="40"/>
          <w:szCs w:val="40"/>
        </w:rPr>
      </w:pPr>
      <w:r>
        <w:rPr>
          <w:rFonts w:hint="eastAsia" w:ascii="创艺简标宋" w:hAnsi="创艺简标宋" w:eastAsia="创艺简标宋" w:cs="创艺简标宋"/>
          <w:sz w:val="40"/>
          <w:szCs w:val="40"/>
        </w:rPr>
        <w:t>中山市2023年博士后科研工作站新设站拟推荐单位情况一览表</w:t>
      </w:r>
    </w:p>
    <w:p>
      <w:pPr>
        <w:spacing w:line="400" w:lineRule="exact"/>
        <w:jc w:val="center"/>
        <w:rPr>
          <w:szCs w:val="32"/>
        </w:rPr>
      </w:pPr>
      <w:r>
        <w:rPr>
          <w:rFonts w:hint="eastAsia"/>
          <w:szCs w:val="32"/>
        </w:rPr>
        <w:t>（排名不分先后）</w:t>
      </w:r>
    </w:p>
    <w:p>
      <w:pPr>
        <w:spacing w:line="400" w:lineRule="exact"/>
        <w:jc w:val="left"/>
        <w:rPr>
          <w:sz w:val="28"/>
          <w:szCs w:val="28"/>
        </w:rPr>
      </w:pPr>
      <w:r>
        <w:rPr>
          <w:rFonts w:hint="eastAsia"/>
          <w:sz w:val="28"/>
          <w:szCs w:val="28"/>
        </w:rPr>
        <w:t>推荐单位：中山市人力资源和社会保障局                            2024年1月17日</w:t>
      </w:r>
    </w:p>
    <w:tbl>
      <w:tblPr>
        <w:tblStyle w:val="4"/>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2126"/>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34" w:type="dxa"/>
            <w:vAlign w:val="center"/>
          </w:tcPr>
          <w:p>
            <w:pPr>
              <w:spacing w:line="360" w:lineRule="exact"/>
              <w:jc w:val="center"/>
              <w:rPr>
                <w:b/>
                <w:bCs/>
                <w:sz w:val="24"/>
              </w:rPr>
            </w:pPr>
            <w:r>
              <w:rPr>
                <w:rFonts w:hint="eastAsia"/>
                <w:b/>
                <w:bCs/>
                <w:sz w:val="24"/>
              </w:rPr>
              <w:t>序号</w:t>
            </w:r>
          </w:p>
        </w:tc>
        <w:tc>
          <w:tcPr>
            <w:tcW w:w="1984" w:type="dxa"/>
            <w:vAlign w:val="center"/>
          </w:tcPr>
          <w:p>
            <w:pPr>
              <w:jc w:val="center"/>
              <w:rPr>
                <w:b/>
                <w:bCs/>
                <w:sz w:val="24"/>
              </w:rPr>
            </w:pPr>
            <w:r>
              <w:rPr>
                <w:rFonts w:hint="eastAsia"/>
                <w:b/>
                <w:bCs/>
                <w:sz w:val="24"/>
              </w:rPr>
              <w:t>拟推荐单位名称</w:t>
            </w:r>
          </w:p>
        </w:tc>
        <w:tc>
          <w:tcPr>
            <w:tcW w:w="1276" w:type="dxa"/>
            <w:vAlign w:val="center"/>
          </w:tcPr>
          <w:p>
            <w:pPr>
              <w:jc w:val="center"/>
              <w:rPr>
                <w:b/>
                <w:bCs/>
                <w:sz w:val="24"/>
              </w:rPr>
            </w:pPr>
            <w:r>
              <w:rPr>
                <w:rFonts w:hint="eastAsia"/>
                <w:b/>
                <w:bCs/>
                <w:sz w:val="24"/>
              </w:rPr>
              <w:t>企业性质</w:t>
            </w:r>
          </w:p>
        </w:tc>
        <w:tc>
          <w:tcPr>
            <w:tcW w:w="2126" w:type="dxa"/>
            <w:vAlign w:val="center"/>
          </w:tcPr>
          <w:p>
            <w:pPr>
              <w:spacing w:line="360" w:lineRule="exact"/>
              <w:jc w:val="left"/>
              <w:rPr>
                <w:b/>
                <w:bCs/>
                <w:sz w:val="24"/>
              </w:rPr>
            </w:pPr>
            <w:r>
              <w:rPr>
                <w:rFonts w:hint="eastAsia"/>
                <w:b/>
                <w:bCs/>
                <w:sz w:val="24"/>
              </w:rPr>
              <w:t>是否符合设站基本条件和推荐条件</w:t>
            </w:r>
          </w:p>
        </w:tc>
        <w:tc>
          <w:tcPr>
            <w:tcW w:w="9497" w:type="dxa"/>
            <w:vAlign w:val="center"/>
          </w:tcPr>
          <w:p>
            <w:pPr>
              <w:spacing w:line="360" w:lineRule="exact"/>
              <w:jc w:val="center"/>
              <w:rPr>
                <w:b/>
                <w:bCs/>
                <w:sz w:val="24"/>
              </w:rPr>
            </w:pPr>
            <w:r>
              <w:rPr>
                <w:rFonts w:hint="eastAsia"/>
                <w:b/>
                <w:bCs/>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34" w:type="dxa"/>
            <w:vAlign w:val="center"/>
          </w:tcPr>
          <w:p>
            <w:pPr>
              <w:jc w:val="center"/>
              <w:rPr>
                <w:sz w:val="28"/>
                <w:szCs w:val="28"/>
              </w:rPr>
            </w:pPr>
            <w:r>
              <w:rPr>
                <w:rFonts w:hint="eastAsia"/>
                <w:sz w:val="28"/>
                <w:szCs w:val="28"/>
              </w:rPr>
              <w:t>1</w:t>
            </w:r>
          </w:p>
        </w:tc>
        <w:tc>
          <w:tcPr>
            <w:tcW w:w="1984"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明阳智慧能源集团股份公司</w:t>
            </w:r>
          </w:p>
        </w:tc>
        <w:tc>
          <w:tcPr>
            <w:tcW w:w="1276"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企业</w:t>
            </w:r>
          </w:p>
        </w:tc>
        <w:tc>
          <w:tcPr>
            <w:tcW w:w="2126" w:type="dxa"/>
            <w:vAlign w:val="center"/>
          </w:tcPr>
          <w:p>
            <w:pPr>
              <w:widowControl/>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符合推荐条件</w:t>
            </w:r>
          </w:p>
          <w:p>
            <w:pPr>
              <w:widowControl/>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第</w:t>
            </w:r>
            <w:r>
              <w:rPr>
                <w:rFonts w:hint="eastAsia" w:asciiTheme="minorEastAsia" w:hAnsiTheme="minorEastAsia" w:eastAsiaTheme="minorEastAsia" w:cstheme="minorEastAsia"/>
                <w:sz w:val="24"/>
                <w:lang w:val="en-US" w:eastAsia="zh-CN"/>
              </w:rPr>
              <w:t>2、3条</w:t>
            </w:r>
          </w:p>
        </w:tc>
        <w:tc>
          <w:tcPr>
            <w:tcW w:w="949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明阳智慧能源集团股份公司成立于2006年，是广东省重点支持的大型骨干企业、海上风电链主企业；也是中国500强和全球新能源500强企业，新能源行业唯一一家上海、伦敦双上市企业。该公司致力于打造清洁能源全生命周期价值链管理与系统解决方案的供应商，行业排名全球前六、国内前三，海上风电创新和市场占有率行业领先，是全行业唯一具备发电机、齿轮箱、叶片及三大电气控制系统自主研发与生产能力的企业；唯一具备提供风能开发、建设、全生命周期价值创造及整体解决方案的企业。企业的高速、高质量发展急需建立高水平平台承载高素质人才引进和涵蓄工作。</w:t>
            </w:r>
          </w:p>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default" w:ascii="Times New Roman" w:hAnsi="Times New Roman" w:eastAsia="仿宋_GB2312" w:cs="Times New Roman"/>
                <w:kern w:val="2"/>
                <w:sz w:val="32"/>
                <w:szCs w:val="24"/>
                <w:lang w:val="en-US" w:eastAsia="zh-CN" w:bidi="ar-SA"/>
              </w:rPr>
            </w:pPr>
            <w:r>
              <w:rPr>
                <w:rFonts w:hint="eastAsia" w:ascii="仿宋" w:hAnsi="仿宋" w:eastAsia="仿宋" w:cstheme="minorEastAsia"/>
                <w:sz w:val="28"/>
                <w:szCs w:val="28"/>
                <w:lang w:val="en-US" w:eastAsia="zh-CN"/>
              </w:rPr>
              <w:t>该公司入选中国民营企业500强（2023年榜单190名），获国家技术创新示范企业，并建有国家级和省级重点实验室、工程技术研究中心和其他省级科研创新平台。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34" w:type="dxa"/>
            <w:vAlign w:val="center"/>
          </w:tcPr>
          <w:p>
            <w:pPr>
              <w:jc w:val="center"/>
              <w:rPr>
                <w:rFonts w:hint="eastAsia" w:eastAsia="仿宋_GB2312"/>
                <w:sz w:val="28"/>
                <w:szCs w:val="28"/>
                <w:lang w:val="en-US" w:eastAsia="zh-CN"/>
              </w:rPr>
            </w:pPr>
            <w:r>
              <w:rPr>
                <w:rFonts w:hint="eastAsia"/>
                <w:sz w:val="28"/>
                <w:szCs w:val="28"/>
                <w:lang w:val="en-US" w:eastAsia="zh-CN"/>
              </w:rPr>
              <w:t>2</w:t>
            </w:r>
          </w:p>
        </w:tc>
        <w:tc>
          <w:tcPr>
            <w:tcW w:w="1984"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广东弘景光电科技股份有限公司</w:t>
            </w:r>
          </w:p>
        </w:tc>
        <w:tc>
          <w:tcPr>
            <w:tcW w:w="1276"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企业</w:t>
            </w:r>
          </w:p>
        </w:tc>
        <w:tc>
          <w:tcPr>
            <w:tcW w:w="2126" w:type="dxa"/>
            <w:vAlign w:val="center"/>
          </w:tcPr>
          <w:p>
            <w:pPr>
              <w:widowControl/>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符合推荐条件</w:t>
            </w:r>
          </w:p>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第</w:t>
            </w:r>
            <w:r>
              <w:rPr>
                <w:rFonts w:hint="eastAsia" w:asciiTheme="minorEastAsia" w:hAnsiTheme="minorEastAsia" w:eastAsiaTheme="minorEastAsia" w:cstheme="minorEastAsia"/>
                <w:sz w:val="24"/>
                <w:lang w:val="en-US" w:eastAsia="zh-CN"/>
              </w:rPr>
              <w:t>2条</w:t>
            </w:r>
          </w:p>
        </w:tc>
        <w:tc>
          <w:tcPr>
            <w:tcW w:w="949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该公司自建广东省智能光电影像（弘景）工程技术研究中心、广东省省级企业技术中心、中山市市级企业技术中心，打造高精度产品检测实验室环境，购置高端研发设备，围绕智能驾驶、激光雷达、AR 领域、医疗镜头、加热器模组及超颖镜片等最新研发方向，开展多项前沿性课题进行研究，截至2023 年12 月31 日，公司已取得境内专利189项，其中发明专利80 项，实用新型专利109 项，取得PCT 专利3 项，公司是国家级专精特新小巨人企业、高新技术企业、中山市创新标杆企业，具有较强的科研实力和较为丰富的科研成果。</w:t>
            </w:r>
          </w:p>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kern w:val="2"/>
                <w:sz w:val="28"/>
                <w:szCs w:val="28"/>
                <w:lang w:val="en-US" w:eastAsia="zh-CN" w:bidi="ar-SA"/>
              </w:rPr>
            </w:pPr>
            <w:r>
              <w:rPr>
                <w:rFonts w:hint="eastAsia" w:ascii="仿宋" w:hAnsi="仿宋" w:eastAsia="仿宋" w:cstheme="minorEastAsia"/>
                <w:sz w:val="28"/>
                <w:szCs w:val="28"/>
                <w:lang w:val="en-US" w:eastAsia="zh-CN"/>
              </w:rPr>
              <w:t>经查核资料，该公司申报2023年工业和信息化部第五批专精特新“小巨人”企业，并于2023年7月，在广东省工业和信息化厅网站公示名单内，符合推荐条件第2条。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34" w:type="dxa"/>
            <w:vAlign w:val="center"/>
          </w:tcPr>
          <w:p>
            <w:pPr>
              <w:spacing w:line="360" w:lineRule="exact"/>
              <w:jc w:val="center"/>
              <w:rPr>
                <w:rFonts w:hint="eastAsia" w:ascii="Times New Roman" w:hAnsi="Times New Roman" w:eastAsia="仿宋_GB2312" w:cs="Times New Roman"/>
                <w:kern w:val="2"/>
                <w:sz w:val="28"/>
                <w:szCs w:val="28"/>
                <w:lang w:val="en-US" w:eastAsia="zh-CN" w:bidi="ar-SA"/>
              </w:rPr>
            </w:pPr>
            <w:r>
              <w:rPr>
                <w:rFonts w:hint="eastAsia"/>
                <w:b/>
                <w:bCs/>
                <w:sz w:val="24"/>
              </w:rPr>
              <w:t>序号</w:t>
            </w:r>
          </w:p>
        </w:tc>
        <w:tc>
          <w:tcPr>
            <w:tcW w:w="198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b/>
                <w:bCs/>
                <w:sz w:val="24"/>
              </w:rPr>
              <w:t>拟推荐单位名称</w:t>
            </w:r>
          </w:p>
        </w:tc>
        <w:tc>
          <w:tcPr>
            <w:tcW w:w="1276"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b/>
                <w:bCs/>
                <w:sz w:val="24"/>
              </w:rPr>
              <w:t>企业性质</w:t>
            </w:r>
          </w:p>
        </w:tc>
        <w:tc>
          <w:tcPr>
            <w:tcW w:w="2126" w:type="dxa"/>
            <w:vAlign w:val="center"/>
          </w:tcPr>
          <w:p>
            <w:pPr>
              <w:spacing w:line="360" w:lineRule="exact"/>
              <w:jc w:val="left"/>
              <w:rPr>
                <w:rFonts w:hint="eastAsia" w:asciiTheme="minorEastAsia" w:hAnsiTheme="minorEastAsia" w:eastAsiaTheme="minorEastAsia" w:cstheme="minorEastAsia"/>
                <w:kern w:val="2"/>
                <w:sz w:val="24"/>
                <w:szCs w:val="24"/>
                <w:lang w:val="en-US" w:eastAsia="zh-CN" w:bidi="ar-SA"/>
              </w:rPr>
            </w:pPr>
            <w:r>
              <w:rPr>
                <w:rFonts w:hint="eastAsia"/>
                <w:b/>
                <w:bCs/>
                <w:sz w:val="24"/>
              </w:rPr>
              <w:t>是否符合设站基本条件和推荐条件</w:t>
            </w:r>
          </w:p>
        </w:tc>
        <w:tc>
          <w:tcPr>
            <w:tcW w:w="9497" w:type="dxa"/>
            <w:vAlign w:val="center"/>
          </w:tcPr>
          <w:p>
            <w:pPr>
              <w:spacing w:line="360" w:lineRule="exact"/>
              <w:jc w:val="center"/>
              <w:rPr>
                <w:rFonts w:hint="eastAsia" w:ascii="仿宋" w:hAnsi="仿宋" w:eastAsia="仿宋" w:cstheme="minorEastAsia"/>
                <w:kern w:val="2"/>
                <w:sz w:val="28"/>
                <w:szCs w:val="28"/>
                <w:lang w:val="en-US" w:eastAsia="zh-CN" w:bidi="ar-SA"/>
              </w:rPr>
            </w:pPr>
            <w:r>
              <w:rPr>
                <w:rFonts w:hint="eastAsia"/>
                <w:b/>
                <w:bCs/>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534" w:type="dxa"/>
            <w:vAlign w:val="center"/>
          </w:tcPr>
          <w:p>
            <w:pPr>
              <w:jc w:val="center"/>
              <w:rPr>
                <w:rFonts w:hint="eastAsia" w:eastAsia="仿宋_GB2312"/>
                <w:sz w:val="28"/>
                <w:szCs w:val="28"/>
                <w:lang w:eastAsia="zh-CN"/>
              </w:rPr>
            </w:pPr>
            <w:r>
              <w:rPr>
                <w:rFonts w:hint="eastAsia"/>
                <w:sz w:val="28"/>
                <w:szCs w:val="28"/>
                <w:lang w:val="en-US" w:eastAsia="zh-CN"/>
              </w:rPr>
              <w:t>3</w:t>
            </w:r>
          </w:p>
        </w:tc>
        <w:tc>
          <w:tcPr>
            <w:tcW w:w="1984" w:type="dxa"/>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长春理工大学中山研究院</w:t>
            </w:r>
          </w:p>
        </w:tc>
        <w:tc>
          <w:tcPr>
            <w:tcW w:w="1276" w:type="dxa"/>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登记类事业单位、新型研发机构</w:t>
            </w:r>
          </w:p>
        </w:tc>
        <w:tc>
          <w:tcPr>
            <w:tcW w:w="2126" w:type="dxa"/>
            <w:vAlign w:val="center"/>
          </w:tcPr>
          <w:p>
            <w:pPr>
              <w:widowControl/>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符合推荐条件</w:t>
            </w:r>
          </w:p>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第</w:t>
            </w:r>
            <w:r>
              <w:rPr>
                <w:rFonts w:hint="eastAsia" w:asciiTheme="minorEastAsia" w:hAnsiTheme="minorEastAsia" w:eastAsiaTheme="minorEastAsia" w:cstheme="minorEastAsia"/>
                <w:sz w:val="24"/>
                <w:lang w:val="en-US" w:eastAsia="zh-CN"/>
              </w:rPr>
              <w:t>5、6条</w:t>
            </w:r>
          </w:p>
        </w:tc>
        <w:tc>
          <w:tcPr>
            <w:tcW w:w="949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长春理工大学中山研究院，由中山市人民政府和长春理工大学共建，是中山市首个高精尖领域硕博联合实践教学教育培养基地。目前入驻科研团队20个，全职人员100人，主要从事研究生培养、科学技术研究、科技成果转化。研究院可开展光电信息工程、仪器仪表工程、新一代信息技术、集成电路工程、通信工程、控制工程、计算机技术和软件工程等专业方向硕、博士研究生培养，拥有研究生导师146名（其中博士学位导师106名），已累计培养硕博研究生727名、毕业110人（其中博士10名、硕士100名），已与27家企业建立研究生联合培养实践基地。</w:t>
            </w:r>
          </w:p>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rPr>
            </w:pPr>
            <w:r>
              <w:rPr>
                <w:rFonts w:hint="eastAsia" w:ascii="仿宋" w:hAnsi="仿宋" w:eastAsia="仿宋" w:cstheme="minorEastAsia"/>
                <w:sz w:val="28"/>
                <w:szCs w:val="28"/>
                <w:lang w:val="en-US" w:eastAsia="zh-CN"/>
              </w:rPr>
              <w:t>该单位2023年11月获批博士后创新实践基地，已累计招收4名非在职、非超龄的博士后研究人员，且其中3名博士后是合作教授依托国家重大项目开展项目博士后工作招收。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34" w:type="dxa"/>
            <w:vAlign w:val="center"/>
          </w:tcPr>
          <w:p>
            <w:pPr>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4</w:t>
            </w:r>
          </w:p>
        </w:tc>
        <w:tc>
          <w:tcPr>
            <w:tcW w:w="1984"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中山市中医院</w:t>
            </w:r>
          </w:p>
        </w:tc>
        <w:tc>
          <w:tcPr>
            <w:tcW w:w="1276" w:type="dxa"/>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事业单位</w:t>
            </w:r>
          </w:p>
          <w:p>
            <w:pPr>
              <w:pStyle w:val="2"/>
              <w:spacing w:before="0" w:after="0" w:line="240" w:lineRule="auto"/>
              <w:outlineLvl w:val="3"/>
              <w:rPr>
                <w:rFonts w:hint="eastAsia" w:ascii="Arial" w:hAnsi="Arial" w:eastAsia="黑体" w:cs="Times New Roman"/>
                <w:b/>
                <w:kern w:val="2"/>
                <w:sz w:val="28"/>
                <w:szCs w:val="24"/>
                <w:lang w:val="en-US" w:eastAsia="zh-CN" w:bidi="ar-SA"/>
              </w:rPr>
            </w:pPr>
            <w:r>
              <w:rPr>
                <w:rFonts w:hint="eastAsia" w:asciiTheme="minorEastAsia" w:hAnsiTheme="minorEastAsia" w:eastAsiaTheme="minorEastAsia" w:cstheme="minorEastAsia"/>
                <w:b w:val="0"/>
                <w:sz w:val="24"/>
              </w:rPr>
              <w:t>（公益二类）</w:t>
            </w:r>
          </w:p>
        </w:tc>
        <w:tc>
          <w:tcPr>
            <w:tcW w:w="2126" w:type="dxa"/>
            <w:vAlign w:val="center"/>
          </w:tcPr>
          <w:p>
            <w:pPr>
              <w:widowControl/>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符合推荐条件</w:t>
            </w:r>
          </w:p>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第</w:t>
            </w:r>
            <w:r>
              <w:rPr>
                <w:rFonts w:hint="eastAsia" w:asciiTheme="minorEastAsia" w:hAnsiTheme="minorEastAsia" w:eastAsiaTheme="minorEastAsia" w:cstheme="minorEastAsia"/>
                <w:sz w:val="24"/>
                <w:lang w:val="en-US" w:eastAsia="zh-CN"/>
              </w:rPr>
              <w:t>5条</w:t>
            </w:r>
          </w:p>
        </w:tc>
        <w:tc>
          <w:tcPr>
            <w:tcW w:w="949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中山市中医院为广州中医药大学非直属附属医院，拥有博士生导师5人、硕士生导师72人，教授、副教授共98人，国家级重点优势专科6个，省级重点专科/学科30余个，全国老中医药专家学术经验继承指导老师2名，广东省名中医9人，可为博后联合带教提供优质师资团队。历年来共获得省、市科技进步奖100多项，近五年获国家、省市各级科研立项达600多项，其中国家级立项3项，省部级立项5项（省自然重点专项1项），厅局级立项257项，其他纵向局级科研立项348项。近3年发表学术论文超1000篇，其中SCI 125篇。获国家专利150项，其中发明专利18项，实用新型127项，外观专利5项，成功实现多项专利成果转化。目前，建有中山市中医药研究院（为国家中医药局中医药科研二级实验室、中山市“十四五”医学研究中心）、中山市方药制剂（中医院）工程技术研究中心及临床生物样本库等，可为博后科研提供良好的临床和基础研究平台。</w:t>
            </w:r>
          </w:p>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kern w:val="2"/>
                <w:sz w:val="28"/>
                <w:szCs w:val="28"/>
                <w:lang w:val="en-US" w:eastAsia="zh-CN" w:bidi="ar-SA"/>
              </w:rPr>
            </w:pPr>
            <w:r>
              <w:rPr>
                <w:rFonts w:hint="eastAsia" w:ascii="仿宋" w:hAnsi="仿宋" w:eastAsia="仿宋" w:cstheme="minorEastAsia"/>
                <w:sz w:val="28"/>
                <w:szCs w:val="28"/>
                <w:lang w:val="en-US" w:eastAsia="zh-CN"/>
              </w:rPr>
              <w:t>该单位2007年4月获批博士后创新实践基地，已累计招收4名博士后，目前在站1人。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34" w:type="dxa"/>
            <w:vAlign w:val="center"/>
          </w:tcPr>
          <w:p>
            <w:pPr>
              <w:spacing w:line="360" w:lineRule="exact"/>
              <w:jc w:val="center"/>
              <w:rPr>
                <w:rFonts w:hint="eastAsia" w:ascii="Times New Roman" w:hAnsi="Times New Roman" w:eastAsia="仿宋_GB2312" w:cs="Times New Roman"/>
                <w:kern w:val="2"/>
                <w:sz w:val="28"/>
                <w:szCs w:val="28"/>
                <w:lang w:val="en-US" w:eastAsia="zh-CN" w:bidi="ar-SA"/>
              </w:rPr>
            </w:pPr>
            <w:r>
              <w:rPr>
                <w:rFonts w:hint="eastAsia"/>
                <w:b/>
                <w:bCs/>
                <w:sz w:val="24"/>
              </w:rPr>
              <w:t>序号</w:t>
            </w:r>
          </w:p>
        </w:tc>
        <w:tc>
          <w:tcPr>
            <w:tcW w:w="198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b/>
                <w:bCs/>
                <w:sz w:val="24"/>
              </w:rPr>
              <w:t>拟推荐单位名称</w:t>
            </w:r>
          </w:p>
        </w:tc>
        <w:tc>
          <w:tcPr>
            <w:tcW w:w="1276"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b/>
                <w:bCs/>
                <w:sz w:val="24"/>
              </w:rPr>
              <w:t>企业性质</w:t>
            </w:r>
          </w:p>
        </w:tc>
        <w:tc>
          <w:tcPr>
            <w:tcW w:w="2126" w:type="dxa"/>
            <w:vAlign w:val="center"/>
          </w:tcPr>
          <w:p>
            <w:pPr>
              <w:spacing w:line="360" w:lineRule="exact"/>
              <w:jc w:val="left"/>
              <w:rPr>
                <w:rFonts w:hint="eastAsia" w:asciiTheme="minorEastAsia" w:hAnsiTheme="minorEastAsia" w:eastAsiaTheme="minorEastAsia" w:cstheme="minorEastAsia"/>
                <w:kern w:val="2"/>
                <w:sz w:val="24"/>
                <w:szCs w:val="24"/>
                <w:lang w:val="en-US" w:eastAsia="zh-CN" w:bidi="ar-SA"/>
              </w:rPr>
            </w:pPr>
            <w:r>
              <w:rPr>
                <w:rFonts w:hint="eastAsia"/>
                <w:b/>
                <w:bCs/>
                <w:sz w:val="24"/>
              </w:rPr>
              <w:t>是否符合设站基本条件和推荐条件</w:t>
            </w:r>
          </w:p>
        </w:tc>
        <w:tc>
          <w:tcPr>
            <w:tcW w:w="9497" w:type="dxa"/>
            <w:vAlign w:val="center"/>
          </w:tcPr>
          <w:p>
            <w:pPr>
              <w:spacing w:line="360" w:lineRule="exact"/>
              <w:jc w:val="center"/>
              <w:rPr>
                <w:rFonts w:hint="eastAsia" w:ascii="仿宋" w:hAnsi="仿宋" w:eastAsia="仿宋" w:cstheme="minorEastAsia"/>
                <w:kern w:val="2"/>
                <w:sz w:val="28"/>
                <w:szCs w:val="28"/>
                <w:lang w:val="en-US" w:eastAsia="zh-CN" w:bidi="ar-SA"/>
              </w:rPr>
            </w:pPr>
            <w:r>
              <w:rPr>
                <w:rFonts w:hint="eastAsia"/>
                <w:b/>
                <w:bCs/>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534" w:type="dxa"/>
            <w:vAlign w:val="center"/>
          </w:tcPr>
          <w:p>
            <w:pPr>
              <w:jc w:val="center"/>
              <w:rPr>
                <w:rFonts w:hint="eastAsia" w:eastAsia="仿宋_GB2312"/>
                <w:sz w:val="28"/>
                <w:szCs w:val="28"/>
                <w:lang w:val="en-US" w:eastAsia="zh-CN"/>
              </w:rPr>
            </w:pPr>
            <w:r>
              <w:rPr>
                <w:rFonts w:hint="eastAsia"/>
                <w:sz w:val="28"/>
                <w:szCs w:val="28"/>
                <w:lang w:val="en-US" w:eastAsia="zh-CN"/>
              </w:rPr>
              <w:t>5</w:t>
            </w:r>
          </w:p>
        </w:tc>
        <w:tc>
          <w:tcPr>
            <w:tcW w:w="1984"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利诚检测认证集团股份有限公司</w:t>
            </w:r>
          </w:p>
        </w:tc>
        <w:tc>
          <w:tcPr>
            <w:tcW w:w="1276"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企业</w:t>
            </w:r>
          </w:p>
        </w:tc>
        <w:tc>
          <w:tcPr>
            <w:tcW w:w="2126" w:type="dxa"/>
            <w:vAlign w:val="center"/>
          </w:tcPr>
          <w:p>
            <w:pPr>
              <w:widowControl/>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符合推荐条件</w:t>
            </w:r>
          </w:p>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第</w:t>
            </w:r>
            <w:r>
              <w:rPr>
                <w:rFonts w:hint="eastAsia" w:asciiTheme="minorEastAsia" w:hAnsiTheme="minorEastAsia" w:eastAsiaTheme="minorEastAsia" w:cstheme="minorEastAsia"/>
                <w:sz w:val="24"/>
                <w:lang w:val="en-US" w:eastAsia="zh-CN"/>
              </w:rPr>
              <w:t>5条</w:t>
            </w:r>
          </w:p>
        </w:tc>
        <w:tc>
          <w:tcPr>
            <w:tcW w:w="949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利诚检测认证集团股份有限公司是一家集检验检测、安全评价、环保工程等技术服务于一体的第三方高新技术服务机构，其中检测类服务范围覆盖食品、药品、化妆品、环境、职业卫生等，同时提供咨询、体检、研发等增值服务，致力为客户提供环保、健康、安全一站式解决方案。取得检验检测机构（CMA）、实验室认可证书（CNAS）、职业卫生技术服务机构、安全评价机构、农产品质量安全检测机构（CATL），环保技术咨询服务能力评价（甲级）、危险废物鉴别能力评价（乙级）、测绘资质（乙级）、环境污染治理能力评价（废气/废水乙级）、碳标签授权评价机构、工业领域3A级低碳服务，以及国产非特殊用途化妆品备案等多项国家和省级授权认可资质，检测能力达10000余项，覆盖农业环境、建设工程、环境检测、疾病预防控制、农产品及食品、化妆品、药品、日用化工产品等多个领域，以高附加值、科研创新型企业发展方向，不断推进科研场所建设，招收博士、博士后研究人才，坚持科研投入，力推各类科研项目。</w:t>
            </w:r>
          </w:p>
          <w:p>
            <w:pPr>
              <w:keepNext w:val="0"/>
              <w:keepLines w:val="0"/>
              <w:pageBreakBefore w:val="0"/>
              <w:widowControl/>
              <w:kinsoku/>
              <w:wordWrap/>
              <w:overflowPunct/>
              <w:topLinePunct w:val="0"/>
              <w:autoSpaceDE/>
              <w:autoSpaceDN/>
              <w:bidi w:val="0"/>
              <w:adjustRightInd/>
              <w:snapToGrid/>
              <w:spacing w:line="340" w:lineRule="exact"/>
              <w:ind w:firstLine="552" w:firstLineChars="200"/>
              <w:jc w:val="left"/>
              <w:textAlignment w:val="center"/>
              <w:rPr>
                <w:rFonts w:hint="default" w:ascii="仿宋" w:hAnsi="仿宋" w:eastAsia="仿宋" w:cstheme="minorEastAsia"/>
                <w:kern w:val="2"/>
                <w:sz w:val="28"/>
                <w:szCs w:val="28"/>
                <w:lang w:val="en-US" w:eastAsia="zh-CN" w:bidi="ar-SA"/>
              </w:rPr>
            </w:pPr>
            <w:r>
              <w:rPr>
                <w:rFonts w:hint="eastAsia" w:ascii="仿宋" w:hAnsi="仿宋" w:eastAsia="仿宋" w:cstheme="minorEastAsia"/>
                <w:sz w:val="28"/>
                <w:szCs w:val="28"/>
                <w:lang w:val="en-US" w:eastAsia="zh-CN"/>
              </w:rPr>
              <w:t>该单位</w:t>
            </w:r>
            <w:r>
              <w:rPr>
                <w:rFonts w:hint="eastAsia" w:ascii="仿宋" w:hAnsi="仿宋" w:eastAsia="仿宋" w:cstheme="minorEastAsia"/>
                <w:sz w:val="28"/>
                <w:szCs w:val="28"/>
                <w:lang w:val="en-US" w:eastAsia="zh-CN"/>
              </w:rPr>
              <w:t>2019年12月获批博士后创新实践基地，已累计招收2名博士后，目前在站1人。</w:t>
            </w:r>
          </w:p>
        </w:tc>
      </w:tr>
    </w:tbl>
    <w:p>
      <w:pPr>
        <w:spacing w:line="400" w:lineRule="exact"/>
        <w:jc w:val="left"/>
        <w:rPr>
          <w:sz w:val="28"/>
          <w:szCs w:val="28"/>
        </w:rPr>
      </w:pPr>
      <w:r>
        <w:rPr>
          <w:rFonts w:hint="eastAsia"/>
          <w:sz w:val="28"/>
          <w:szCs w:val="28"/>
        </w:rPr>
        <w:t xml:space="preserve">联系人及电话：梁智宇，0760-88389962 </w:t>
      </w:r>
      <w:bookmarkStart w:id="0" w:name="_GoBack"/>
      <w:bookmarkEnd w:id="0"/>
    </w:p>
    <w:sectPr>
      <w:pgSz w:w="16838" w:h="11906" w:orient="landscape"/>
      <w:pgMar w:top="1134" w:right="851" w:bottom="851" w:left="851" w:header="1304" w:footer="1418" w:gutter="0"/>
      <w:cols w:space="720" w:num="1"/>
      <w:titlePg/>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NzA2NjhkNWJlNTliMGQxN2EzMzU2MDEyZDRkODkifQ=="/>
  </w:docVars>
  <w:rsids>
    <w:rsidRoot w:val="00172A27"/>
    <w:rsid w:val="00075F04"/>
    <w:rsid w:val="000D306B"/>
    <w:rsid w:val="00172A27"/>
    <w:rsid w:val="00862537"/>
    <w:rsid w:val="00B34738"/>
    <w:rsid w:val="00DC0ECB"/>
    <w:rsid w:val="02E36B77"/>
    <w:rsid w:val="05437E51"/>
    <w:rsid w:val="08545BCE"/>
    <w:rsid w:val="0A623E9E"/>
    <w:rsid w:val="0A774493"/>
    <w:rsid w:val="0C616FE4"/>
    <w:rsid w:val="0ED3326D"/>
    <w:rsid w:val="0FA9016A"/>
    <w:rsid w:val="0FAA344B"/>
    <w:rsid w:val="13E40774"/>
    <w:rsid w:val="14002765"/>
    <w:rsid w:val="161D26FB"/>
    <w:rsid w:val="16787D2F"/>
    <w:rsid w:val="17766C74"/>
    <w:rsid w:val="1A001914"/>
    <w:rsid w:val="1D621330"/>
    <w:rsid w:val="260B0BCA"/>
    <w:rsid w:val="28340CBA"/>
    <w:rsid w:val="28F50C1C"/>
    <w:rsid w:val="29402637"/>
    <w:rsid w:val="2C7B681F"/>
    <w:rsid w:val="2D8972DC"/>
    <w:rsid w:val="2FD859FC"/>
    <w:rsid w:val="31444EFF"/>
    <w:rsid w:val="34C0586B"/>
    <w:rsid w:val="37FB72B7"/>
    <w:rsid w:val="40F032C3"/>
    <w:rsid w:val="43EB3703"/>
    <w:rsid w:val="450C48C8"/>
    <w:rsid w:val="45D44AA3"/>
    <w:rsid w:val="45E41EA0"/>
    <w:rsid w:val="46040E9F"/>
    <w:rsid w:val="47D5310B"/>
    <w:rsid w:val="4D990C63"/>
    <w:rsid w:val="4E8C41D3"/>
    <w:rsid w:val="4EE07709"/>
    <w:rsid w:val="4FA17783"/>
    <w:rsid w:val="529E73D1"/>
    <w:rsid w:val="540A6E13"/>
    <w:rsid w:val="54EC0B0D"/>
    <w:rsid w:val="55494C53"/>
    <w:rsid w:val="587D00F8"/>
    <w:rsid w:val="5B382623"/>
    <w:rsid w:val="60273646"/>
    <w:rsid w:val="603F7C7F"/>
    <w:rsid w:val="607446C7"/>
    <w:rsid w:val="62C77E7B"/>
    <w:rsid w:val="6A514B5E"/>
    <w:rsid w:val="6B0E05B3"/>
    <w:rsid w:val="6C5878B4"/>
    <w:rsid w:val="6D0745E9"/>
    <w:rsid w:val="6F5C21EA"/>
    <w:rsid w:val="6F864C6E"/>
    <w:rsid w:val="6FCE1EE7"/>
    <w:rsid w:val="71AB5FC5"/>
    <w:rsid w:val="73F500B8"/>
    <w:rsid w:val="79C00765"/>
    <w:rsid w:val="7AFA35AD"/>
    <w:rsid w:val="7B5C5656"/>
    <w:rsid w:val="7C03783A"/>
    <w:rsid w:val="7C9B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2</Pages>
  <Words>316</Words>
  <Characters>1804</Characters>
  <Lines>15</Lines>
  <Paragraphs>4</Paragraphs>
  <TotalTime>1</TotalTime>
  <ScaleCrop>false</ScaleCrop>
  <LinksUpToDate>false</LinksUpToDate>
  <CharactersWithSpaces>2116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2020-03-20T09:07:00Z</dcterms:created>
  <dc:creator>蒋玮</dc:creator>
  <cp:lastModifiedBy>梁智宇</cp:lastModifiedBy>
  <dcterms:modified xsi:type="dcterms:W3CDTF">2024-01-19T02:21:37Z</dcterms:modified>
  <dc:title>中山市2023年博士后科研工作站新设站拟推荐单位情况一览表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ACA666E7808A4C02A44A5B8EFAA943CC_12</vt:lpwstr>
  </property>
</Properties>
</file>