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rPr>
          <w:rFonts w:hint="default" w:ascii="Times New Roman" w:hAnsi="Times New Roman" w:eastAsia="黑体" w:cs="Times New Roman"/>
          <w:color w:val="2A2A2A"/>
          <w:sz w:val="32"/>
          <w:szCs w:val="32"/>
          <w:highlight w:val="none"/>
          <w:shd w:val="clear" w:color="auto" w:fill="FFFFFF"/>
        </w:rPr>
      </w:pPr>
      <w:r>
        <w:rPr>
          <w:rFonts w:hint="eastAsia" w:ascii="黑体" w:hAnsi="黑体" w:eastAsia="黑体" w:cs="黑体"/>
          <w:sz w:val="32"/>
          <w:highlight w:val="none"/>
        </w:rPr>
        <w:t>附</w:t>
      </w:r>
      <w:r>
        <w:rPr>
          <w:rFonts w:hint="eastAsia" w:ascii="黑体" w:hAnsi="黑体" w:eastAsia="黑体" w:cs="黑体"/>
          <w:sz w:val="32"/>
          <w:highlight w:val="none"/>
          <w:lang w:eastAsia="zh-CN"/>
        </w:rPr>
        <w:t>件</w:t>
      </w:r>
      <w:r>
        <w:rPr>
          <w:rFonts w:hint="default" w:ascii="Times New Roman" w:hAnsi="Times New Roman" w:eastAsia="黑体" w:cs="Times New Roman"/>
          <w:sz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w:t>
      </w:r>
      <w:r>
        <w:rPr>
          <w:rFonts w:hint="eastAsia"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lang w:val="en-US" w:eastAsia="zh-CN"/>
        </w:rPr>
        <w:t>年度广东省博士工作站新设站单位</w:t>
      </w:r>
      <w:r>
        <w:rPr>
          <w:rFonts w:hint="eastAsia" w:eastAsia="方正小标宋简体" w:cs="Times New Roman"/>
          <w:sz w:val="44"/>
          <w:szCs w:val="44"/>
          <w:highlight w:val="none"/>
          <w:lang w:val="en-US" w:eastAsia="zh-CN"/>
        </w:rPr>
        <w:t>一览表</w:t>
      </w:r>
    </w:p>
    <w:tbl>
      <w:tblPr>
        <w:tblStyle w:val="4"/>
        <w:tblW w:w="13829"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139"/>
        <w:gridCol w:w="1435"/>
        <w:gridCol w:w="224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推荐序号</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全</w:t>
            </w:r>
            <w:r>
              <w:rPr>
                <w:rFonts w:hint="default" w:ascii="Times New Roman" w:hAnsi="Times New Roman" w:eastAsia="黑体" w:cs="Times New Roman"/>
                <w:b w:val="0"/>
                <w:bCs w:val="0"/>
                <w:sz w:val="28"/>
                <w:szCs w:val="28"/>
                <w:highlight w:val="none"/>
                <w:vertAlign w:val="baseline"/>
                <w:lang w:val="en-US" w:eastAsia="zh-CN"/>
              </w:rPr>
              <w:t>称</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类型</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符合优先支持条件的第几项</w:t>
            </w:r>
          </w:p>
        </w:tc>
        <w:tc>
          <w:tcPr>
            <w:tcW w:w="7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推荐理由（200字内）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1</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highlight w:val="none"/>
                <w:vertAlign w:val="baseline"/>
                <w:lang w:val="en-US" w:eastAsia="zh-CN"/>
              </w:rPr>
              <w:t>中山先进低温技术研究院</w:t>
            </w:r>
          </w:p>
        </w:tc>
        <w:tc>
          <w:tcPr>
            <w:tcW w:w="143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rPr>
              <w:t>科研机构</w:t>
            </w:r>
          </w:p>
        </w:tc>
        <w:tc>
          <w:tcPr>
            <w:tcW w:w="224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rPr>
              <w:t>第</w:t>
            </w:r>
            <w:r>
              <w:rPr>
                <w:rFonts w:hint="eastAsia" w:cs="仿宋_GB2312"/>
                <w:spacing w:val="-6"/>
                <w:kern w:val="2"/>
                <w:sz w:val="28"/>
                <w:szCs w:val="28"/>
                <w:lang w:val="en-US" w:eastAsia="zh-CN"/>
              </w:rPr>
              <w:t>2、3、</w:t>
            </w:r>
            <w:r>
              <w:rPr>
                <w:rFonts w:hint="eastAsia" w:ascii="Times New Roman" w:hAnsi="Times New Roman" w:eastAsia="仿宋_GB2312" w:cs="仿宋_GB2312"/>
                <w:spacing w:val="-6"/>
                <w:kern w:val="2"/>
                <w:sz w:val="28"/>
                <w:szCs w:val="28"/>
              </w:rPr>
              <w:t>6项</w:t>
            </w:r>
          </w:p>
        </w:tc>
        <w:tc>
          <w:tcPr>
            <w:tcW w:w="7202" w:type="dxa"/>
            <w:noWrap w:val="0"/>
            <w:vAlign w:val="center"/>
          </w:tcPr>
          <w:p>
            <w:pPr>
              <w:keepNext w:val="0"/>
              <w:keepLines w:val="0"/>
              <w:pageBreakBefore w:val="0"/>
              <w:kinsoku/>
              <w:wordWrap/>
              <w:overflowPunct/>
              <w:topLinePunct w:val="0"/>
              <w:autoSpaceDE/>
              <w:autoSpaceDN/>
              <w:bidi w:val="0"/>
              <w:adjustRightInd/>
              <w:snapToGrid/>
              <w:spacing w:line="380" w:lineRule="exact"/>
              <w:ind w:firstLine="448" w:firstLineChars="200"/>
              <w:jc w:val="left"/>
              <w:textAlignment w:val="auto"/>
              <w:rPr>
                <w:rFonts w:hint="eastAsia" w:ascii="Times New Roman" w:hAnsi="Times New Roman" w:eastAsia="仿宋_GB2312" w:cs="仿宋_GB2312"/>
                <w:spacing w:val="-6"/>
                <w:kern w:val="2"/>
                <w:sz w:val="24"/>
                <w:szCs w:val="24"/>
                <w:highlight w:val="none"/>
                <w:vertAlign w:val="baseline"/>
                <w:lang w:val="en-US" w:eastAsia="zh-CN"/>
              </w:rPr>
            </w:pPr>
            <w:r>
              <w:rPr>
                <w:rFonts w:hint="eastAsia" w:ascii="Times New Roman" w:hAnsi="Times New Roman" w:eastAsia="仿宋_GB2312" w:cs="仿宋_GB2312"/>
                <w:spacing w:val="-6"/>
                <w:kern w:val="2"/>
                <w:sz w:val="24"/>
                <w:szCs w:val="24"/>
              </w:rPr>
              <w:t>低温院在中山市规划建设液氢综合试验基地，并在全国范围内率先形成具有使用意义的民用氢液化示范，对氢能发展具有重大意义。低温院“中山液氢储能综合能源利用系统项目”是中山市唯一入选广东省新型储能重大应用场景机会清单的项目。低温院承担中科院C类战略性先导专项子课题，开展大规模提氦用两大核心装备万瓦级氦液化器和液氦罐箱研制，2024年底完成装备研制，该项工作具有创新性和突破性，在国际上属于领先地位，国内为首创。</w:t>
            </w:r>
            <w:r>
              <w:rPr>
                <w:rFonts w:hint="eastAsia" w:ascii="Times New Roman" w:hAnsi="Times New Roman" w:eastAsia="仿宋_GB2312" w:cs="仿宋_GB2312"/>
                <w:spacing w:val="-6"/>
                <w:kern w:val="2"/>
                <w:sz w:val="24"/>
                <w:szCs w:val="24"/>
                <w:lang w:val="en-US" w:eastAsia="zh-CN"/>
              </w:rPr>
              <w:t>在职博士</w:t>
            </w:r>
            <w:r>
              <w:rPr>
                <w:rFonts w:hint="eastAsia" w:cs="仿宋_GB2312"/>
                <w:spacing w:val="-6"/>
                <w:kern w:val="2"/>
                <w:sz w:val="24"/>
                <w:szCs w:val="24"/>
                <w:lang w:val="en-US" w:eastAsia="zh-CN"/>
              </w:rPr>
              <w:t>8</w:t>
            </w:r>
            <w:r>
              <w:rPr>
                <w:rFonts w:hint="eastAsia" w:ascii="Times New Roman" w:hAnsi="Times New Roman" w:eastAsia="仿宋_GB2312" w:cs="仿宋_GB2312"/>
                <w:spacing w:val="-6"/>
                <w:kern w:val="2"/>
                <w:sz w:val="24"/>
                <w:szCs w:val="24"/>
                <w:lang w:val="en-US" w:eastAsia="zh-CN"/>
              </w:rPr>
              <w:t>人</w:t>
            </w:r>
            <w:r>
              <w:rPr>
                <w:rFonts w:hint="eastAsia" w:cs="仿宋_GB2312"/>
                <w:spacing w:val="-6"/>
                <w:kern w:val="2"/>
                <w:sz w:val="24"/>
                <w:szCs w:val="24"/>
                <w:lang w:val="en-US" w:eastAsia="zh-CN"/>
              </w:rPr>
              <w:t>、外聘博士15人。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2</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highlight w:val="none"/>
                <w:vertAlign w:val="baseline"/>
                <w:lang w:val="en-US" w:eastAsia="zh-CN"/>
              </w:rPr>
              <w:t>广东汉邦激光科技有限公司</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highlight w:val="none"/>
                <w:vertAlign w:val="baseline"/>
                <w:lang w:val="en-US" w:eastAsia="zh-CN"/>
              </w:rPr>
              <w:t>企业</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bidi="ar-SA"/>
              </w:rPr>
            </w:pPr>
            <w:r>
              <w:rPr>
                <w:rFonts w:hint="eastAsia" w:ascii="Times New Roman" w:hAnsi="Times New Roman" w:eastAsia="仿宋_GB2312" w:cs="仿宋_GB2312"/>
                <w:spacing w:val="-6"/>
                <w:kern w:val="2"/>
                <w:sz w:val="28"/>
                <w:szCs w:val="28"/>
                <w:highlight w:val="none"/>
                <w:vertAlign w:val="baseline"/>
                <w:lang w:val="en-US" w:eastAsia="zh-CN"/>
              </w:rPr>
              <w:t>第</w:t>
            </w:r>
            <w:r>
              <w:rPr>
                <w:rFonts w:hint="eastAsia" w:cs="仿宋_GB2312"/>
                <w:spacing w:val="-6"/>
                <w:kern w:val="2"/>
                <w:sz w:val="28"/>
                <w:szCs w:val="28"/>
                <w:highlight w:val="none"/>
                <w:vertAlign w:val="baseline"/>
                <w:lang w:val="en-US" w:eastAsia="zh-CN"/>
              </w:rPr>
              <w:t>3、</w:t>
            </w:r>
            <w:r>
              <w:rPr>
                <w:rFonts w:hint="eastAsia" w:ascii="Times New Roman" w:hAnsi="Times New Roman" w:eastAsia="仿宋_GB2312" w:cs="仿宋_GB2312"/>
                <w:spacing w:val="-6"/>
                <w:kern w:val="2"/>
                <w:sz w:val="28"/>
                <w:szCs w:val="28"/>
                <w:highlight w:val="none"/>
                <w:vertAlign w:val="baseline"/>
                <w:lang w:val="en-US" w:eastAsia="zh-CN"/>
              </w:rPr>
              <w:t>6项</w:t>
            </w:r>
          </w:p>
        </w:tc>
        <w:tc>
          <w:tcPr>
            <w:tcW w:w="72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48" w:firstLineChars="200"/>
              <w:jc w:val="left"/>
              <w:textAlignment w:val="auto"/>
              <w:outlineLvl w:val="9"/>
              <w:rPr>
                <w:rFonts w:hint="eastAsia" w:ascii="Times New Roman" w:hAnsi="Times New Roman" w:eastAsia="仿宋_GB2312" w:cs="仿宋_GB2312"/>
                <w:spacing w:val="-6"/>
                <w:kern w:val="2"/>
                <w:sz w:val="24"/>
                <w:szCs w:val="24"/>
                <w:highlight w:val="none"/>
                <w:vertAlign w:val="baseline"/>
                <w:lang w:val="en-US" w:eastAsia="zh-CN" w:bidi="ar-SA"/>
              </w:rPr>
            </w:pPr>
            <w:r>
              <w:rPr>
                <w:rFonts w:hint="eastAsia" w:ascii="Times New Roman" w:hAnsi="Times New Roman" w:eastAsia="仿宋_GB2312" w:cs="仿宋_GB2312"/>
                <w:spacing w:val="-6"/>
                <w:kern w:val="2"/>
                <w:sz w:val="24"/>
                <w:szCs w:val="24"/>
                <w:highlight w:val="none"/>
                <w:vertAlign w:val="baseline"/>
                <w:lang w:val="en-US" w:eastAsia="zh-CN"/>
              </w:rPr>
              <w:t>公司专注金属3D打印装备的研发、生产、销售及应用技术，是国家专精特新“小巨人”企业、国家高新技术企业、国家知识产权优势企业；组建“广东省金属3D打印工程技</w:t>
            </w:r>
            <w:bookmarkStart w:id="0" w:name="_GoBack"/>
            <w:bookmarkEnd w:id="0"/>
            <w:r>
              <w:rPr>
                <w:rFonts w:hint="eastAsia" w:ascii="Times New Roman" w:hAnsi="Times New Roman" w:eastAsia="仿宋_GB2312" w:cs="仿宋_GB2312"/>
                <w:spacing w:val="-6"/>
                <w:kern w:val="2"/>
                <w:sz w:val="24"/>
                <w:szCs w:val="24"/>
                <w:highlight w:val="none"/>
                <w:vertAlign w:val="baseline"/>
                <w:lang w:val="en-US" w:eastAsia="zh-CN"/>
              </w:rPr>
              <w:t>术研究中心”、“ 中山市3D打印技术工程实验室”、“广东省博士后创新实践基地”、“广东省科学院企业工作站”、 “广东省研究生联合培养基地”；承担广东省重大科技专项2项、广东省自然科学基金面上项目1项、中山市创新科研团队项目1项、中山市重大科技专项2项；参与制订增材制造国标11项、行标7项，获中国机械工业科学技术三等奖1项；</w:t>
            </w:r>
            <w:r>
              <w:rPr>
                <w:rFonts w:hint="eastAsia" w:ascii="Times New Roman" w:hAnsi="Times New Roman" w:eastAsia="仿宋_GB2312" w:cs="仿宋_GB2312"/>
                <w:spacing w:val="-6"/>
                <w:kern w:val="2"/>
                <w:sz w:val="24"/>
                <w:szCs w:val="24"/>
                <w:lang w:val="en-US" w:eastAsia="zh-CN"/>
              </w:rPr>
              <w:t>在职</w:t>
            </w:r>
            <w:r>
              <w:rPr>
                <w:rFonts w:hint="eastAsia" w:cs="仿宋_GB2312"/>
                <w:spacing w:val="-6"/>
                <w:kern w:val="2"/>
                <w:sz w:val="24"/>
                <w:szCs w:val="24"/>
                <w:lang w:val="en-US" w:eastAsia="zh-CN"/>
              </w:rPr>
              <w:t>博士2人、</w:t>
            </w:r>
            <w:r>
              <w:rPr>
                <w:rFonts w:hint="eastAsia" w:ascii="Times New Roman" w:hAnsi="Times New Roman" w:eastAsia="仿宋_GB2312" w:cs="仿宋_GB2312"/>
                <w:spacing w:val="-6"/>
                <w:kern w:val="2"/>
                <w:sz w:val="24"/>
                <w:szCs w:val="24"/>
                <w:lang w:val="en-US" w:eastAsia="zh-CN"/>
              </w:rPr>
              <w:t>兼职博士</w:t>
            </w:r>
            <w:r>
              <w:rPr>
                <w:rFonts w:hint="eastAsia" w:cs="仿宋_GB2312"/>
                <w:spacing w:val="-6"/>
                <w:kern w:val="2"/>
                <w:sz w:val="24"/>
                <w:szCs w:val="24"/>
                <w:lang w:val="en-US" w:eastAsia="zh-CN"/>
              </w:rPr>
              <w:t>2</w:t>
            </w:r>
            <w:r>
              <w:rPr>
                <w:rFonts w:hint="eastAsia" w:ascii="Times New Roman" w:hAnsi="Times New Roman" w:eastAsia="仿宋_GB2312" w:cs="仿宋_GB2312"/>
                <w:spacing w:val="-6"/>
                <w:kern w:val="2"/>
                <w:sz w:val="24"/>
                <w:szCs w:val="24"/>
                <w:lang w:val="en-US" w:eastAsia="zh-CN"/>
              </w:rPr>
              <w:t>人</w:t>
            </w:r>
            <w:r>
              <w:rPr>
                <w:rFonts w:hint="eastAsia" w:ascii="Times New Roman" w:hAnsi="Times New Roman" w:eastAsia="仿宋_GB2312" w:cs="仿宋_GB2312"/>
                <w:spacing w:val="-6"/>
                <w:kern w:val="2"/>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推荐序号</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全</w:t>
            </w:r>
            <w:r>
              <w:rPr>
                <w:rFonts w:hint="default" w:ascii="Times New Roman" w:hAnsi="Times New Roman" w:eastAsia="黑体" w:cs="Times New Roman"/>
                <w:b w:val="0"/>
                <w:bCs w:val="0"/>
                <w:sz w:val="28"/>
                <w:szCs w:val="28"/>
                <w:highlight w:val="none"/>
                <w:vertAlign w:val="baseline"/>
                <w:lang w:val="en-US" w:eastAsia="zh-CN"/>
              </w:rPr>
              <w:t>称</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类型</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符合优先支持条件的第几项</w:t>
            </w:r>
          </w:p>
        </w:tc>
        <w:tc>
          <w:tcPr>
            <w:tcW w:w="7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推荐理由（200字内）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3</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spacing w:val="-6"/>
                <w:kern w:val="2"/>
                <w:sz w:val="28"/>
                <w:szCs w:val="28"/>
                <w:highlight w:val="none"/>
                <w:vertAlign w:val="baseline"/>
                <w:lang w:val="en-US" w:eastAsia="zh-CN"/>
              </w:rPr>
              <w:t>中科赛凌（中山）科技有限公司</w:t>
            </w:r>
          </w:p>
        </w:tc>
        <w:tc>
          <w:tcPr>
            <w:tcW w:w="14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i w:val="0"/>
                <w:color w:val="000000"/>
                <w:spacing w:val="-6"/>
                <w:kern w:val="2"/>
                <w:sz w:val="28"/>
                <w:szCs w:val="28"/>
                <w:u w:val="none"/>
                <w:lang w:val="en-US" w:eastAsia="zh-CN" w:bidi="ar"/>
              </w:rPr>
              <w:t>企业</w:t>
            </w:r>
          </w:p>
        </w:tc>
        <w:tc>
          <w:tcPr>
            <w:tcW w:w="2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pacing w:val="-6"/>
                <w:kern w:val="2"/>
                <w:sz w:val="28"/>
                <w:szCs w:val="28"/>
                <w:highlight w:val="none"/>
                <w:vertAlign w:val="baseline"/>
                <w:lang w:val="en-US" w:eastAsia="zh-CN"/>
              </w:rPr>
            </w:pPr>
            <w:r>
              <w:rPr>
                <w:rFonts w:hint="eastAsia" w:ascii="Times New Roman" w:hAnsi="Times New Roman" w:eastAsia="仿宋_GB2312" w:cs="仿宋_GB2312"/>
                <w:i w:val="0"/>
                <w:color w:val="000000"/>
                <w:spacing w:val="-6"/>
                <w:kern w:val="2"/>
                <w:sz w:val="28"/>
                <w:szCs w:val="28"/>
                <w:u w:val="none"/>
                <w:lang w:val="en-US" w:eastAsia="zh-CN" w:bidi="ar"/>
              </w:rPr>
              <w:t>第3</w:t>
            </w:r>
            <w:r>
              <w:rPr>
                <w:rFonts w:hint="eastAsia" w:cs="仿宋_GB2312"/>
                <w:i w:val="0"/>
                <w:color w:val="000000"/>
                <w:spacing w:val="-6"/>
                <w:kern w:val="2"/>
                <w:sz w:val="28"/>
                <w:szCs w:val="28"/>
                <w:u w:val="none"/>
                <w:lang w:val="en-US" w:eastAsia="zh-CN" w:bidi="ar"/>
              </w:rPr>
              <w:t>、</w:t>
            </w:r>
            <w:r>
              <w:rPr>
                <w:rFonts w:hint="eastAsia" w:ascii="Times New Roman" w:hAnsi="Times New Roman" w:eastAsia="仿宋_GB2312" w:cs="仿宋_GB2312"/>
                <w:i w:val="0"/>
                <w:color w:val="000000"/>
                <w:spacing w:val="-6"/>
                <w:kern w:val="2"/>
                <w:sz w:val="28"/>
                <w:szCs w:val="28"/>
                <w:u w:val="none"/>
                <w:lang w:val="en-US" w:eastAsia="zh-CN" w:bidi="ar"/>
              </w:rPr>
              <w:t>6项</w:t>
            </w:r>
          </w:p>
        </w:tc>
        <w:tc>
          <w:tcPr>
            <w:tcW w:w="7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448" w:firstLineChars="200"/>
              <w:jc w:val="left"/>
              <w:textAlignment w:val="auto"/>
              <w:rPr>
                <w:rFonts w:hint="eastAsia" w:ascii="Times New Roman" w:hAnsi="Times New Roman" w:eastAsia="仿宋_GB2312" w:cs="仿宋_GB2312"/>
                <w:spacing w:val="-6"/>
                <w:kern w:val="2"/>
                <w:sz w:val="24"/>
                <w:szCs w:val="24"/>
                <w:highlight w:val="none"/>
                <w:vertAlign w:val="baseline"/>
                <w:lang w:val="en-US" w:eastAsia="zh-CN"/>
              </w:rPr>
            </w:pPr>
            <w:r>
              <w:rPr>
                <w:rFonts w:hint="eastAsia" w:ascii="Times New Roman" w:hAnsi="Times New Roman" w:eastAsia="仿宋_GB2312" w:cs="仿宋_GB2312"/>
                <w:i w:val="0"/>
                <w:color w:val="000000"/>
                <w:spacing w:val="-6"/>
                <w:kern w:val="2"/>
                <w:sz w:val="24"/>
                <w:szCs w:val="24"/>
                <w:u w:val="none"/>
                <w:lang w:val="en-US" w:eastAsia="zh-CN" w:bidi="ar"/>
              </w:rPr>
              <w:t>该公司是中国科学院理化技术研究所科技成果转化企业，被认定为广东省专精特新中小企业、高新技术企业，研发了单压缩机制冷技术实现零下190℃制冷，已获授权发明专利6项，实用新型专利27项，获中国创新创业大赛（广东赛区）成长企业优胜奖。公司现有全职博士3人，兼职博士2人。该公司计划通过组建博士工作站进一步吸纳、集聚博士博士后人才，攻克行业卡脖子关键技术，助力中国环境测试设备行业的发展，为客户和社会创造更高的价值。</w:t>
            </w:r>
            <w:r>
              <w:rPr>
                <w:rFonts w:hint="eastAsia" w:ascii="Times New Roman" w:hAnsi="Times New Roman" w:eastAsia="仿宋_GB2312" w:cs="仿宋_GB2312"/>
                <w:spacing w:val="-6"/>
                <w:kern w:val="2"/>
                <w:sz w:val="24"/>
                <w:szCs w:val="24"/>
                <w:lang w:val="en-US" w:eastAsia="zh-CN"/>
              </w:rPr>
              <w:t>在职博士</w:t>
            </w:r>
            <w:r>
              <w:rPr>
                <w:rFonts w:hint="eastAsia" w:cs="仿宋_GB2312"/>
                <w:spacing w:val="-6"/>
                <w:kern w:val="2"/>
                <w:sz w:val="24"/>
                <w:szCs w:val="24"/>
                <w:lang w:val="en-US" w:eastAsia="zh-CN"/>
              </w:rPr>
              <w:t>5</w:t>
            </w:r>
            <w:r>
              <w:rPr>
                <w:rFonts w:hint="eastAsia" w:ascii="Times New Roman" w:hAnsi="Times New Roman" w:eastAsia="仿宋_GB2312" w:cs="仿宋_GB2312"/>
                <w:spacing w:val="-6"/>
                <w:kern w:val="2"/>
                <w:sz w:val="24"/>
                <w:szCs w:val="24"/>
                <w:lang w:val="en-US" w:eastAsia="zh-CN"/>
              </w:rPr>
              <w:t>人</w:t>
            </w:r>
            <w:r>
              <w:rPr>
                <w:rFonts w:hint="eastAsia" w:ascii="Times New Roman" w:hAnsi="Times New Roman" w:cs="仿宋_GB2312"/>
                <w:spacing w:val="-6"/>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4</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中山莱博瑞辰生物医药有限公司</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企业</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第3、6项</w:t>
            </w:r>
          </w:p>
        </w:tc>
        <w:tc>
          <w:tcPr>
            <w:tcW w:w="72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48" w:firstLineChars="200"/>
              <w:jc w:val="left"/>
              <w:textAlignment w:val="auto"/>
              <w:outlineLvl w:val="9"/>
              <w:rPr>
                <w:rFonts w:hint="default" w:ascii="Times New Roman" w:hAnsi="Times New Roman" w:eastAsia="仿宋_GB2312" w:cs="仿宋_GB2312"/>
                <w:spacing w:val="-6"/>
                <w:kern w:val="2"/>
                <w:sz w:val="24"/>
                <w:szCs w:val="24"/>
                <w:highlight w:val="none"/>
                <w:vertAlign w:val="baseline"/>
                <w:lang w:val="en-US" w:eastAsia="zh-CN"/>
              </w:rPr>
            </w:pPr>
            <w:r>
              <w:rPr>
                <w:rFonts w:hint="eastAsia" w:cs="仿宋_GB2312"/>
                <w:spacing w:val="-6"/>
                <w:kern w:val="2"/>
                <w:sz w:val="24"/>
                <w:szCs w:val="24"/>
                <w:highlight w:val="none"/>
                <w:vertAlign w:val="baseline"/>
                <w:lang w:val="en-US" w:eastAsia="zh-CN"/>
              </w:rPr>
              <w:t>中山莱博瑞辰生物医药有限公司致力于骨关节创新药自主研发及产业化，拥有由美国医学院院士带队的加州大学戴维斯分校骨和关节再生医学研发团队；已完成超1亿元融资，获评省专精特新中小企业；已建成配备有配置有国际领先的MICRO CT50、荧光显微镜、扫描仪、小动物X光成像系统、DEXA骨密度扫描仪等骨与关节研发平台实验室；主营产品RAB001创新药也已获批临床一期试验，随着创新药产业化进程推进，需要引进博士人才开展研究工作。</w:t>
            </w:r>
            <w:r>
              <w:rPr>
                <w:rFonts w:hint="eastAsia" w:ascii="Times New Roman" w:hAnsi="Times New Roman" w:eastAsia="仿宋_GB2312" w:cs="仿宋_GB2312"/>
                <w:spacing w:val="-6"/>
                <w:kern w:val="2"/>
                <w:sz w:val="24"/>
                <w:szCs w:val="24"/>
                <w:lang w:val="en-US" w:eastAsia="zh-CN"/>
              </w:rPr>
              <w:t>在职博士</w:t>
            </w:r>
            <w:r>
              <w:rPr>
                <w:rFonts w:hint="eastAsia" w:cs="仿宋_GB2312"/>
                <w:spacing w:val="-6"/>
                <w:kern w:val="2"/>
                <w:sz w:val="24"/>
                <w:szCs w:val="24"/>
                <w:lang w:val="en-US" w:eastAsia="zh-CN"/>
              </w:rPr>
              <w:t>博士后3</w:t>
            </w:r>
            <w:r>
              <w:rPr>
                <w:rFonts w:hint="eastAsia" w:ascii="Times New Roman" w:hAnsi="Times New Roman" w:eastAsia="仿宋_GB2312" w:cs="仿宋_GB2312"/>
                <w:spacing w:val="-6"/>
                <w:kern w:val="2"/>
                <w:sz w:val="24"/>
                <w:szCs w:val="24"/>
                <w:lang w:val="en-US" w:eastAsia="zh-CN"/>
              </w:rPr>
              <w:t>人</w:t>
            </w:r>
            <w:r>
              <w:rPr>
                <w:rFonts w:hint="eastAsia" w:ascii="Times New Roman" w:hAnsi="Times New Roman" w:cs="仿宋_GB2312"/>
                <w:spacing w:val="-6"/>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5</w:t>
            </w:r>
          </w:p>
        </w:tc>
        <w:tc>
          <w:tcPr>
            <w:tcW w:w="2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广东太力科技集团股份有限公司</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企业</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cs="仿宋_GB2312"/>
                <w:spacing w:val="-6"/>
                <w:kern w:val="2"/>
                <w:sz w:val="28"/>
                <w:szCs w:val="28"/>
                <w:highlight w:val="none"/>
                <w:vertAlign w:val="baseline"/>
                <w:lang w:val="en-US" w:eastAsia="zh-CN"/>
              </w:rPr>
            </w:pPr>
            <w:r>
              <w:rPr>
                <w:rFonts w:hint="eastAsia" w:cs="仿宋_GB2312"/>
                <w:spacing w:val="-6"/>
                <w:kern w:val="2"/>
                <w:sz w:val="28"/>
                <w:szCs w:val="28"/>
                <w:highlight w:val="none"/>
                <w:vertAlign w:val="baseline"/>
                <w:lang w:val="en-US" w:eastAsia="zh-CN"/>
              </w:rPr>
              <w:t>第2、6项</w:t>
            </w:r>
          </w:p>
        </w:tc>
        <w:tc>
          <w:tcPr>
            <w:tcW w:w="72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48" w:firstLineChars="200"/>
              <w:jc w:val="left"/>
              <w:textAlignment w:val="auto"/>
              <w:outlineLvl w:val="9"/>
              <w:rPr>
                <w:rFonts w:hint="default" w:cs="仿宋_GB2312"/>
                <w:spacing w:val="-6"/>
                <w:kern w:val="2"/>
                <w:sz w:val="24"/>
                <w:szCs w:val="24"/>
                <w:highlight w:val="none"/>
                <w:vertAlign w:val="baseline"/>
                <w:lang w:val="en-US" w:eastAsia="zh-CN"/>
              </w:rPr>
            </w:pPr>
            <w:r>
              <w:rPr>
                <w:rFonts w:hint="eastAsia" w:cs="仿宋_GB2312"/>
                <w:spacing w:val="-6"/>
                <w:kern w:val="2"/>
                <w:sz w:val="24"/>
                <w:szCs w:val="24"/>
                <w:highlight w:val="none"/>
                <w:vertAlign w:val="baseline"/>
                <w:lang w:val="en-US" w:eastAsia="zh-CN"/>
              </w:rPr>
              <w:t>公司系国家高新技术企业、广东省专精特新中小企业、国家知识产权示范企业，已建有广东省工业设计中心、广东省工程技术研究中心等平台。公司是专注于高分子材料、真空密封、TPE弹性体、纳米流体等高性能新材料研发应用的科技创新企业，研究成果广泛应用于航天、航空、交通、军队、医院、民用等领域属广东省战略性支柱产业集群、战略性新兴产业集群，以及我市新时代“十大舰队”产业集群建设中的链主企业或承担重要职责的集群促进机构。</w:t>
            </w:r>
          </w:p>
        </w:tc>
      </w:tr>
    </w:tbl>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sectPr>
      <w:footerReference r:id="rId4" w:type="first"/>
      <w:footerReference r:id="rId3" w:type="default"/>
      <w:pgSz w:w="16838" w:h="11906" w:orient="landscape"/>
      <w:pgMar w:top="987" w:right="2097" w:bottom="1474" w:left="1984" w:header="1304" w:footer="1417" w:gutter="0"/>
      <w:pgNumType w:fmt="decimal"/>
      <w:cols w:space="720" w:num="1"/>
      <w:titlePg/>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E4254"/>
    <w:rsid w:val="04024691"/>
    <w:rsid w:val="043500DD"/>
    <w:rsid w:val="077C6EED"/>
    <w:rsid w:val="0F5600D7"/>
    <w:rsid w:val="123F582D"/>
    <w:rsid w:val="14632DE5"/>
    <w:rsid w:val="156C733B"/>
    <w:rsid w:val="15B35AF6"/>
    <w:rsid w:val="16D82F36"/>
    <w:rsid w:val="170064A1"/>
    <w:rsid w:val="170E4254"/>
    <w:rsid w:val="1EEC77A9"/>
    <w:rsid w:val="1F2C0E54"/>
    <w:rsid w:val="1F68458F"/>
    <w:rsid w:val="218F4597"/>
    <w:rsid w:val="23083AEC"/>
    <w:rsid w:val="24A3460E"/>
    <w:rsid w:val="2A6018AE"/>
    <w:rsid w:val="2AD420D2"/>
    <w:rsid w:val="2B7E5627"/>
    <w:rsid w:val="301B504F"/>
    <w:rsid w:val="370535AB"/>
    <w:rsid w:val="3CE23906"/>
    <w:rsid w:val="3D246EBA"/>
    <w:rsid w:val="3D78039A"/>
    <w:rsid w:val="3F78379D"/>
    <w:rsid w:val="486C7949"/>
    <w:rsid w:val="583B79CE"/>
    <w:rsid w:val="585020E3"/>
    <w:rsid w:val="5E396EA5"/>
    <w:rsid w:val="60C13ABF"/>
    <w:rsid w:val="626E3CE2"/>
    <w:rsid w:val="632E0B5B"/>
    <w:rsid w:val="634A558B"/>
    <w:rsid w:val="66DB3B72"/>
    <w:rsid w:val="691F1FD0"/>
    <w:rsid w:val="6C6C4973"/>
    <w:rsid w:val="6CE92845"/>
    <w:rsid w:val="6E6E1ACE"/>
    <w:rsid w:val="72941231"/>
    <w:rsid w:val="729D3B01"/>
    <w:rsid w:val="72BB515D"/>
    <w:rsid w:val="73B0129A"/>
    <w:rsid w:val="7D1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正文文本缩进 New"/>
    <w:basedOn w:val="6"/>
    <w:qFormat/>
    <w:uiPriority w:val="0"/>
    <w:pPr>
      <w:ind w:firstLine="636" w:firstLineChars="200"/>
    </w:pPr>
    <w:rPr>
      <w:szCs w:val="20"/>
    </w:rPr>
  </w:style>
  <w:style w:type="paragraph" w:styleId="8">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中山市社会保险基金管理局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2024-01-02T08:18:00Z</dcterms:created>
  <dc:creator>梁智宇</dc:creator>
  <cp:lastModifiedBy>梁智宇</cp:lastModifiedBy>
  <cp:lastPrinted>2024-01-24T04:24:00Z</cp:lastPrinted>
  <dcterms:modified xsi:type="dcterms:W3CDTF">2024-01-31T08:41:30Z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