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="0" w:afterLines="-2147483648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bookmarkEnd w:id="0"/>
      <w:r>
        <w:rPr>
          <w:rFonts w:hint="default" w:ascii="Times New Roman" w:hAnsi="Times New Roman" w:cs="Times New Roman" w:eastAsiaTheme="minorEastAsia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中山市人力资源服务机构诚信服务等级评定标准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/>
        <w:textAlignment w:val="auto"/>
        <w:rPr>
          <w:rFonts w:hint="eastAsia"/>
          <w:sz w:val="11"/>
          <w:szCs w:val="1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中山市人力资源服务机构诚信服务等级评定标准分依法经营（25分）、规模效益（21分）、劳动关系（13分）、诚信建设（24分）、社会效益（17分）、奖励加分（20分）六部分，共31项48个指标；基础分值100分，加分分值20分，合计120分。诚信服务等级评定采取查看相关资料、行业主管部门核查、相关部门协查等方式进行。</w:t>
      </w:r>
    </w:p>
    <w:tbl>
      <w:tblPr>
        <w:tblStyle w:val="7"/>
        <w:tblW w:w="1475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454"/>
        <w:gridCol w:w="1019"/>
        <w:gridCol w:w="9095"/>
        <w:gridCol w:w="486"/>
        <w:gridCol w:w="679"/>
        <w:gridCol w:w="679"/>
        <w:gridCol w:w="13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评定指标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自评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复评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评分依据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lang w:val="en-US" w:eastAsia="zh-CN" w:bidi="ar"/>
              </w:rPr>
              <w:t>依法经营</w:t>
            </w:r>
            <w:r>
              <w:rPr>
                <w:rStyle w:val="14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4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（2</w:t>
            </w:r>
            <w:r>
              <w:rPr>
                <w:rStyle w:val="14"/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14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分）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证照公示</w:t>
            </w:r>
            <w:r>
              <w:rPr>
                <w:rStyle w:val="15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15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分）</w:t>
            </w: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服务场所明示人力资源服务机构许可证/备案证、营业执照、内部投诉电话、监管部门和监督投诉电话等；通过互联网提供人力资源服务的，在网站主页公示营业执照、人力资源服务许可证//备案证等信息（1分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未按相关要求进行明示（0分）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查看相关资料和现场照片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在服务场所明示服务项目、服务规程、收费标准（涉及商业秘密公开会对客户合法权益造成损害的信息，可不予公开）（1分）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未按相关要求进行明示（0分）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查看相关资料和现场照片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规章制度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依法制定劳动用工管理、财务核算等各项规章制度，做到制度健全、内容合法、程序民主、公示告知，且各类台账、记录完备，服务完善（3分）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制定了劳动用工管理、财务核算等各项规章制度，制度健全、内容合法、各类台账、记录完备，服务完善，但未履行民主公示等程序（2分）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制定了劳动用工管理、财务核算等各项规章制度和各类台账，但制度不够健全，且各类台账、记录不够完善（1分）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未建立规章制度和各类台账（0分）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查看相关资料和现场照片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服务协议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建立信息发布审查制度，依法签订服务协议，对用人单位所提供材料的真实性、合法性进行审查，并妥善存档相关审查材料（2分）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建立信息发布审查制度，依法签订服务协议，对用人单位所提供材料的真实性、合法性进行审查，但未妥善存档相关审查材料（1分）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未建立信息发布审查制度、依法签订服务协议、未审查用人单位资质（0分）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lang w:val="en-US" w:eastAsia="zh-CN" w:bidi="ar"/>
              </w:rPr>
              <w:t>依法经营</w:t>
            </w:r>
            <w:r>
              <w:rPr>
                <w:rStyle w:val="14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4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（25分）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招聘管理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分）</w:t>
            </w: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建立求职者信息保护制度，保护求职者个人隐私，招聘信息真实有效，符合法定要求，不存在就业歧视等内容，不收取财物或担保，不扣押证件、不违法使用未满16周岁未成年人的（3分）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建立求职者信息保护制度，保护求职者个人隐私，招聘信息真实有效，符合法定要求，但在招聘过程中存在招聘流程不清晰、信息不够详尽等情况（2分）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依法合规发布招聘信息、保护求职者个人隐私，但未建立求职者信息保护制度（1分）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发布虚假招聘广告、提供虚假招聘信息，或存在相关违法违规行为（0分）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及时为员工办理入职手续，并建立用工管理台账（包括职工名册、录用登记、工时台账等）（1分）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未按有关规定办理入职手续或未建立用工管理台账（0分）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劳动合同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9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依法签订劳动合同，书面劳动合同签订率100%，向劳动者提供合同文本，依法变更、解除、终止劳动合同（2分）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存在相关违法违规情况（0分）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工资支付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工资结构合理，符合最低工资标准，依法足额发放，无拖欠行为，工资台账完整，工资条等及时发放（2分）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存在相关违法违规情况（0分）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社会保险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依法履行社会保险登记、申报义务；按时依法为员工缴纳各项社会保险费并保障员工知情权（2分）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未履行相关义务，存在违法违规情况（0分）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员工权益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尊重劳动者人格权利和自由，不强迫或变相强迫劳动、不侵犯个人隐私、不违法使用个人信息（2分）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存在相关违法违规行为</w:t>
            </w:r>
            <w:r>
              <w:rPr>
                <w:rStyle w:val="16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（0分）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查看相关资料、相关部门协助核查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（6分）</w:t>
            </w: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按照相关法律法规要求，建立安全生产管理制度并给予一定经费支持（1分）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相关制度缺失或执行不到位（0分）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实行全员安全生产责任制，设置安全生产管理机构或者配备专（兼）职安全生产管理人员（1分）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责任落实和人员配备不到位（0分）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定期开展安全生产、风险防范、职业健康等培训和讲座，建立安全生产教育培训档案（1分）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培训和教育落实不到位（0分）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按安全生产标准要求配备灭火器、应急灯、安全标识、自动报警系统、防毒面具等消防设施（2分）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按安全生产标准要求配备消防设施，但设备不完善（1分）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未按安全生产标准配备任何消防设施（0分）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近3年来未被应急管理部门处罚（1分）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近3年内被应急管理部门处罚过（0分）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查看相关资料、相关部门协助核查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规模效益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（21分）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经营年限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（2分）</w:t>
            </w:r>
          </w:p>
        </w:tc>
        <w:tc>
          <w:tcPr>
            <w:tcW w:w="9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经营年限5年及以上（2分）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经营年限2年及以上（1分）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经营年限2年以下（0.5分）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营业收入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9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4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年度营业收入（不含代收代付）</w:t>
            </w:r>
            <w:r>
              <w:rPr>
                <w:rStyle w:val="16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500万元及以上（5分）</w:t>
            </w:r>
            <w:r>
              <w:rPr>
                <w:rStyle w:val="16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年度营业收入（不含代收代付）300万元及以上、500万元以下（3分）</w:t>
            </w:r>
            <w:r>
              <w:rPr>
                <w:rStyle w:val="16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年度营业收入（不含代收代付）100万元及以上、300万元以下（1分）</w:t>
            </w:r>
            <w:r>
              <w:rPr>
                <w:rStyle w:val="16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年度营业收入（不含代收代付）50万元及以上、100万元以下（0.5分</w:t>
            </w:r>
            <w:r>
              <w:rPr>
                <w:rStyle w:val="14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Style w:val="16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年度营业收入（不含代收代付）50万元以下（0分</w:t>
            </w:r>
            <w:r>
              <w:rPr>
                <w:rStyle w:val="14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机构规模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9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规模以上机构（3分）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规模以下机构</w:t>
            </w:r>
            <w:r>
              <w:rPr>
                <w:rStyle w:val="16"/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 w:bidi="ar"/>
              </w:rPr>
              <w:t>（1分）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查看相关资料，行业主管部门核查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服务数量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（4分）</w:t>
            </w:r>
          </w:p>
        </w:tc>
        <w:tc>
          <w:tcPr>
            <w:tcW w:w="9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4"/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人力资源招聘、劳务派遣（含灵活用工）、外包和培训等4项服务：</w:t>
            </w:r>
            <w:r>
              <w:rPr>
                <w:rStyle w:val="14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4"/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 w:bidi="ar"/>
              </w:rPr>
              <w:t>年服务人次1000人次及以上（2分）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4"/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 w:bidi="ar"/>
              </w:rPr>
              <w:t>年服务人次800人次及以上、1000人次以下（1.5分）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 w:bidi="ar"/>
              </w:rPr>
              <w:t>年服务人次500人次及以上、800人次以下（1分）</w:t>
            </w:r>
            <w:r>
              <w:rPr>
                <w:rStyle w:val="14"/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 w:bidi="ar"/>
              </w:rPr>
              <w:t>年服务人次</w:t>
            </w:r>
            <w:r>
              <w:rPr>
                <w:rStyle w:val="17"/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 w:bidi="ar"/>
              </w:rPr>
              <w:t>200</w:t>
            </w:r>
            <w:r>
              <w:rPr>
                <w:rStyle w:val="14"/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 w:bidi="ar"/>
              </w:rPr>
              <w:t>人次及以上、500人次以下（0.5分）</w:t>
            </w:r>
            <w:r>
              <w:rPr>
                <w:rStyle w:val="14"/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 w:bidi="ar"/>
              </w:rPr>
              <w:t>年服务人次200人次以下（0分）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人力资源咨询、测评、高级人才寻访（猎头）、就业创业指导和人力资源信息化管理等5项服务：</w:t>
            </w:r>
            <w:r>
              <w:rPr>
                <w:rStyle w:val="17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年服务收入</w:t>
            </w:r>
            <w:r>
              <w:rPr>
                <w:rStyle w:val="17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16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0万元及以上（2分）</w:t>
            </w:r>
            <w:r>
              <w:rPr>
                <w:rStyle w:val="16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年服务收入</w:t>
            </w:r>
            <w:r>
              <w:rPr>
                <w:rStyle w:val="17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20</w:t>
            </w:r>
            <w:r>
              <w:rPr>
                <w:rStyle w:val="16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万元及以上、</w:t>
            </w:r>
            <w:r>
              <w:rPr>
                <w:rStyle w:val="17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16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0万元以下（1分）</w:t>
            </w:r>
            <w:r>
              <w:rPr>
                <w:rStyle w:val="16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年服务收入20万元以下（0分）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年纳税额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（4分）</w:t>
            </w:r>
          </w:p>
        </w:tc>
        <w:tc>
          <w:tcPr>
            <w:tcW w:w="9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6"/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年纳税额100万元及以上（4分）</w:t>
            </w:r>
            <w:r>
              <w:rPr>
                <w:rStyle w:val="19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年纳税额50万元及以上、100万元以下（3分）</w:t>
            </w:r>
            <w:r>
              <w:rPr>
                <w:rStyle w:val="16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年纳税额30万元及以上、50万元以下（2分）</w:t>
            </w:r>
            <w:r>
              <w:rPr>
                <w:rStyle w:val="16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6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年纳税额10万元及以上、30万元以下（1分）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left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Style w:val="16"/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 w:bidi="ar"/>
              </w:rPr>
              <w:t>年纳税额10万元以下（0分）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经营面积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经营面积（与注册地址一致）</w:t>
            </w:r>
            <w:r>
              <w:rPr>
                <w:rStyle w:val="16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200</w:t>
            </w:r>
            <w:r>
              <w:rPr>
                <w:rStyle w:val="20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㎡</w:t>
            </w:r>
            <w:r>
              <w:rPr>
                <w:rStyle w:val="16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及以上</w:t>
            </w:r>
            <w:r>
              <w:rPr>
                <w:rStyle w:val="14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（3分）</w:t>
            </w:r>
            <w:r>
              <w:rPr>
                <w:rStyle w:val="14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4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经营面积（与注册地址一致）</w:t>
            </w:r>
            <w:r>
              <w:rPr>
                <w:rStyle w:val="16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100㎡及以上、200</w:t>
            </w:r>
            <w:r>
              <w:rPr>
                <w:rStyle w:val="20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㎡</w:t>
            </w:r>
            <w:r>
              <w:rPr>
                <w:rStyle w:val="16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以下</w:t>
            </w:r>
            <w:r>
              <w:rPr>
                <w:rStyle w:val="14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（2分）</w:t>
            </w:r>
            <w:r>
              <w:rPr>
                <w:rStyle w:val="14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4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经营面积（与注册地址一致）100</w:t>
            </w:r>
            <w:r>
              <w:rPr>
                <w:rStyle w:val="21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㎡以下</w:t>
            </w:r>
            <w:r>
              <w:rPr>
                <w:rStyle w:val="14"/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 w:bidi="ar"/>
              </w:rPr>
              <w:t>（1分）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劳动关系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（13分）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科学管理（4分）</w:t>
            </w: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负责人、骨干力量持有高等学历证书，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人力资源管理、职业指导、劳动关系协调、人力资源心理咨询、经济等方面职称或技能证书（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持有初、中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级资格证书或大专及以上学历证书的，每人计0.5分；持有高级及以上资格证书或研究生以上学历证书的，每人计1分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，累计最高4分。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纠纷化解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  <w:t>分）</w:t>
            </w: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依法建立工会，建立完善各项制度，定期开展各类工会活动（2分）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未建立工会，但积极参加上级工会组织的活动（1分）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既未建立工会组织，也未参加上级工会组织的活动（0分）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建立劳动争议处理机制，配备专（兼）职工作人员，未发生劳资纠纷，每项1分，最高3分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员工关怀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（4分）</w:t>
            </w: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举办或组织员工参加社会文化活动，每次0.5分，最高1分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在册工作人员曾受过业务培训：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占比70%及以上（2分）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占比50%及以上、70%以下（1分）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占比50%以下（0分）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树立合作共赢、敬业诚信、和谐发展等正向价值理念，营造和谐文化氛围，并在工作场所中有明确载体和具体体现（1分）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无相应举措和实体展示（0分）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查看相关资料和现场照片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诚信建设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（24分）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诚信制度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（4分）</w:t>
            </w: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建立健全服务公示制、服务承诺制、服务反馈制和信用管理制等相关制度，每项1分，最高4分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信息公开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分）</w:t>
            </w: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建立完善的信息公开管理制度并严格执行（3分）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建立信息公开管理制度，执行效果较好（2分）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部分建立信息公开管理制度，执行效果一般（1分）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既未建立信息公开管理制度，也未有效执行（0分）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4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信息公开渠道和平台多样化，公开范围能够覆盖组织活动地域（</w:t>
            </w:r>
            <w:r>
              <w:rPr>
                <w:rStyle w:val="23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24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 w:bidi="ar"/>
              </w:rPr>
              <w:t>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4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 w:bidi="ar"/>
              </w:rPr>
              <w:t>信息公开渠道和平台较多，公开范围覆盖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组织活动</w:t>
            </w:r>
            <w:r>
              <w:rPr>
                <w:rStyle w:val="24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 w:bidi="ar"/>
              </w:rPr>
              <w:t>大部分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地域</w:t>
            </w:r>
            <w:r>
              <w:rPr>
                <w:rStyle w:val="24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 w:bidi="ar"/>
              </w:rPr>
              <w:t>（1分）</w:t>
            </w:r>
            <w:r>
              <w:rPr>
                <w:rStyle w:val="25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5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 w:bidi="ar"/>
              </w:rPr>
              <w:t>信息未公开，不能满足信息公开相关要求（0分）</w:t>
            </w:r>
            <w:r>
              <w:rPr>
                <w:rStyle w:val="25"/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5"/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备</w:t>
            </w:r>
            <w:r>
              <w:rPr>
                <w:rStyle w:val="26"/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注：信息公开方式主要包括官网、微信公众号、微博、抖音、快手、自有APP等。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诚信文化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定期开展诚信主题活动，全员接受诚信教育培训，签署诚信服务承诺书，每项1分，最高3分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诚信建设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分）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22"/>
                <w:lang w:val="en-US" w:eastAsia="zh-CN"/>
              </w:rPr>
              <w:t>信用评价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（8分）</w:t>
            </w: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公共信用综合评价结果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22"/>
                <w:lang w:val="en-US" w:eastAsia="zh-CN"/>
              </w:rPr>
              <w:t>企业信用评价等级为优、优-（8分）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22"/>
                <w:lang w:val="en-US" w:eastAsia="zh-CN"/>
              </w:rPr>
              <w:t>企业信用评价等级为良+、良、良-（6分）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22"/>
                <w:lang w:val="en-US" w:eastAsia="zh-CN"/>
              </w:rPr>
              <w:t>企业信用评价等级为中+、中、中-（4分）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22"/>
                <w:lang w:val="en-US" w:eastAsia="zh-CN"/>
              </w:rPr>
              <w:t>企业信用评价等级为差（0分）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机构自评，相关部门评定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接受监督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（4分）</w:t>
            </w: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按要求报送季度、年度报告和年审资料（3分）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未按要求报送季度、年度报告和年审资料（0分）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查看相关资料，相关部门评定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在行政主管部门巡查中未发现经营异常情况（1分）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在行政主管部门巡查中被发现存在相关经营异常情况（0分）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机构自评，相关部门评定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9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（17分）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党建引领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按规定成立党组织并按时开展党建活动（3分）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党员人数不足，但成立了联合党支部并按时参加党建活动（2分）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未成立联合党支部，但积极参加行业党总支等上级党组织开展的党建活动（1分）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既未成立联合党支部，也未参加行业党总支等上级党组织开展的党建活动（0分）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公益活动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积极参加当地政府机构或行业协会组织的公益性促进就业活动，每次1分，最高3分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新增吸纳重点就业群体（如高校毕业生、农民工、退役军人、就业困难人员等）每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人得0.5分，最高2分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行业交流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（9分）</w:t>
            </w: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加入人力资源服务领域社会团体（有效期内）、入驻人力资源服务产业园，每加入1个得1分，最高2分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承办人力资源服务领域行业活动每次1分，协办人力资源服务领域活动每次0.5分，最高2分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热心行业发展，积极参加行业交流、考察、培训、会议、竞技等活动，每次0.5分，最高2分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积极主动参与行业自律和规范、标准化建设等活动，每次1分，最高2分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积极主动宣传行业发展、弘扬正能量（1分）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无相关举措（0分）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奖励加分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行业发展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（6分）</w:t>
            </w:r>
          </w:p>
        </w:tc>
        <w:tc>
          <w:tcPr>
            <w:tcW w:w="9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在入选我市各类人力资源服务行业榜单，行业标准建设、企业高质量转型发展取得一定成效，具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一定行业引领作用等方面综合评分，最高6分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奖励加分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highlight w:val="yellow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强化服务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在保障现代化产业集群“十大舰队”重点企业用工需求或招引人才等方面综合评分，最高5分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textAlignment w:val="auto"/>
              <w:rPr>
                <w:rFonts w:hint="default" w:ascii="Times New Roman" w:hAnsi="Times New Roman" w:eastAsia="方正大标宋_GBK" w:cs="Times New Roman"/>
                <w:highlight w:val="yellow"/>
                <w:lang w:val="en-US" w:eastAsia="zh-CN"/>
              </w:rPr>
            </w:pPr>
            <w:r>
              <w:rPr>
                <w:rStyle w:val="26"/>
                <w:rFonts w:hint="default" w:ascii="Times New Roman" w:hAnsi="Times New Roman" w:eastAsia="楷体_GB2312" w:cs="Times New Roman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"/>
              </w:rPr>
              <w:t>备注：现代化产业集群“十大舰队”包括新能源、生物医药与健康、新一代信息技术、智能家电、高端装备、光电光学、灯饰照明、中山美居、现代农业与食品、现代时尚产业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促进就业（2分）</w:t>
            </w:r>
          </w:p>
        </w:tc>
        <w:tc>
          <w:tcPr>
            <w:tcW w:w="9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textAlignment w:val="auto"/>
              <w:rPr>
                <w:rStyle w:val="26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新增</w:t>
            </w:r>
            <w:r>
              <w:rPr>
                <w:rStyle w:val="26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"/>
              </w:rPr>
              <w:t>吸纳高校毕业生就业，每人0.1分，最高2分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热心慈善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（3分）</w:t>
            </w: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积极响应政府号召，参加扶贫救灾、社会救助、教育帮扶、环境保护等领域慈善活动，每次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1分；累计捐赠财物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每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1万元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1分，累计最高3分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荣誉表彰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分）</w:t>
            </w:r>
          </w:p>
        </w:tc>
        <w:tc>
          <w:tcPr>
            <w:tcW w:w="9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left"/>
              <w:textAlignment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近5年内在人力资源服务领域获得：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省级以上表彰、荣誉或奖项（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市级表彰、荣誉或奖项（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分）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查看相关资料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1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>
      <w:pPr>
        <w:bidi w:val="0"/>
        <w:spacing w:line="48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043" w:right="1080" w:bottom="1043" w:left="1080" w:header="737" w:footer="85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2D0338-E78E-4C14-8907-50A4D57223B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3EE3DCD6-E8AB-4161-B85C-281978FF4F6C}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9B7EEFE3-FD5E-4390-B006-8360E587D7F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167C18C-DEF8-428F-A250-2B9D863B759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49C8530-07E4-4787-8537-1C4E8D04E74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13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3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3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3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3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3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3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3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3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3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3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3"/>
                              <w:szCs w:val="32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3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13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13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13"/>
                        <w:szCs w:val="32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3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3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3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3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3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3"/>
                        <w:szCs w:val="32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3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3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3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3"/>
                        <w:szCs w:val="32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3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13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M2UwZmI3ZDQ5ZGNlNWUyZDBhYjY5Mzc0YjBjYzIifQ=="/>
  </w:docVars>
  <w:rsids>
    <w:rsidRoot w:val="71E569F8"/>
    <w:rsid w:val="02D2752A"/>
    <w:rsid w:val="0337738D"/>
    <w:rsid w:val="04CE3D21"/>
    <w:rsid w:val="04DC4690"/>
    <w:rsid w:val="05177476"/>
    <w:rsid w:val="05B20F4D"/>
    <w:rsid w:val="061439B5"/>
    <w:rsid w:val="08732C15"/>
    <w:rsid w:val="09063A89"/>
    <w:rsid w:val="096D58B6"/>
    <w:rsid w:val="09EB1BC3"/>
    <w:rsid w:val="0ACA0AE6"/>
    <w:rsid w:val="0E511C4A"/>
    <w:rsid w:val="0EFB3964"/>
    <w:rsid w:val="0F4B669A"/>
    <w:rsid w:val="0F5500E2"/>
    <w:rsid w:val="10074E2B"/>
    <w:rsid w:val="103E61FE"/>
    <w:rsid w:val="14BF5434"/>
    <w:rsid w:val="16027CCE"/>
    <w:rsid w:val="17410382"/>
    <w:rsid w:val="19E03E83"/>
    <w:rsid w:val="19EA6AAF"/>
    <w:rsid w:val="1A4C32C6"/>
    <w:rsid w:val="1A615DC8"/>
    <w:rsid w:val="1B5C578B"/>
    <w:rsid w:val="1B612DA1"/>
    <w:rsid w:val="1B7F1479"/>
    <w:rsid w:val="1BDC4A0F"/>
    <w:rsid w:val="1C0E2F29"/>
    <w:rsid w:val="1D526E45"/>
    <w:rsid w:val="1EBC3110"/>
    <w:rsid w:val="22B01FDC"/>
    <w:rsid w:val="22C43CCF"/>
    <w:rsid w:val="25A554F5"/>
    <w:rsid w:val="288423AA"/>
    <w:rsid w:val="294A6179"/>
    <w:rsid w:val="2A247DBB"/>
    <w:rsid w:val="2A633F74"/>
    <w:rsid w:val="2B822FEC"/>
    <w:rsid w:val="2C126F83"/>
    <w:rsid w:val="2C201467"/>
    <w:rsid w:val="2CAD519E"/>
    <w:rsid w:val="2CC836CC"/>
    <w:rsid w:val="2D4B38B1"/>
    <w:rsid w:val="2D744BB6"/>
    <w:rsid w:val="2E0777D8"/>
    <w:rsid w:val="2E221CCA"/>
    <w:rsid w:val="2ECA6884"/>
    <w:rsid w:val="2FE51D9B"/>
    <w:rsid w:val="31691A15"/>
    <w:rsid w:val="326844C0"/>
    <w:rsid w:val="33042538"/>
    <w:rsid w:val="37A91900"/>
    <w:rsid w:val="37EB6C5C"/>
    <w:rsid w:val="390A4620"/>
    <w:rsid w:val="397321C6"/>
    <w:rsid w:val="39BD1693"/>
    <w:rsid w:val="3A455E04"/>
    <w:rsid w:val="3A9248CD"/>
    <w:rsid w:val="3ACF10B1"/>
    <w:rsid w:val="3B143534"/>
    <w:rsid w:val="3BA15EE2"/>
    <w:rsid w:val="3C0E61D6"/>
    <w:rsid w:val="3D125367"/>
    <w:rsid w:val="3D90181E"/>
    <w:rsid w:val="3DFC7A07"/>
    <w:rsid w:val="3E1425A5"/>
    <w:rsid w:val="409969B6"/>
    <w:rsid w:val="40DF6605"/>
    <w:rsid w:val="40F41513"/>
    <w:rsid w:val="40FF5942"/>
    <w:rsid w:val="41CD4447"/>
    <w:rsid w:val="43A85924"/>
    <w:rsid w:val="43EA577A"/>
    <w:rsid w:val="43FA2840"/>
    <w:rsid w:val="448654A3"/>
    <w:rsid w:val="44C46A61"/>
    <w:rsid w:val="44D24AA2"/>
    <w:rsid w:val="45D16085"/>
    <w:rsid w:val="463C6424"/>
    <w:rsid w:val="476342D8"/>
    <w:rsid w:val="47D51847"/>
    <w:rsid w:val="49131F08"/>
    <w:rsid w:val="49265079"/>
    <w:rsid w:val="492B03C7"/>
    <w:rsid w:val="4A331C29"/>
    <w:rsid w:val="4AB83EDC"/>
    <w:rsid w:val="4B035A86"/>
    <w:rsid w:val="4B781BA8"/>
    <w:rsid w:val="4B865D88"/>
    <w:rsid w:val="4C1904CA"/>
    <w:rsid w:val="4C2F6420"/>
    <w:rsid w:val="4C312198"/>
    <w:rsid w:val="4EC15329"/>
    <w:rsid w:val="4FBF0EFF"/>
    <w:rsid w:val="506E4C6E"/>
    <w:rsid w:val="521265C8"/>
    <w:rsid w:val="527903F5"/>
    <w:rsid w:val="5311569F"/>
    <w:rsid w:val="53AC050C"/>
    <w:rsid w:val="550F5041"/>
    <w:rsid w:val="551E7032"/>
    <w:rsid w:val="55654C60"/>
    <w:rsid w:val="55937A20"/>
    <w:rsid w:val="56951647"/>
    <w:rsid w:val="584D2CCD"/>
    <w:rsid w:val="59864863"/>
    <w:rsid w:val="59C109D7"/>
    <w:rsid w:val="5A303B73"/>
    <w:rsid w:val="5AB0159A"/>
    <w:rsid w:val="5B683522"/>
    <w:rsid w:val="5BD26DC8"/>
    <w:rsid w:val="5C0F5926"/>
    <w:rsid w:val="5C877BB2"/>
    <w:rsid w:val="5CCE3A33"/>
    <w:rsid w:val="5D172CE4"/>
    <w:rsid w:val="5D1F7DEB"/>
    <w:rsid w:val="5DAE2930"/>
    <w:rsid w:val="5F2911DA"/>
    <w:rsid w:val="5FBC7B73"/>
    <w:rsid w:val="5FF23595"/>
    <w:rsid w:val="60E214DA"/>
    <w:rsid w:val="617D7E6A"/>
    <w:rsid w:val="62E82A1A"/>
    <w:rsid w:val="62F324C1"/>
    <w:rsid w:val="63E92F01"/>
    <w:rsid w:val="63F83144"/>
    <w:rsid w:val="64393E88"/>
    <w:rsid w:val="65716201"/>
    <w:rsid w:val="66062056"/>
    <w:rsid w:val="66AB26EF"/>
    <w:rsid w:val="66C13CC1"/>
    <w:rsid w:val="67980FE5"/>
    <w:rsid w:val="6BBB7AE2"/>
    <w:rsid w:val="6BBD539F"/>
    <w:rsid w:val="6C996E06"/>
    <w:rsid w:val="6CFB0D37"/>
    <w:rsid w:val="6D542115"/>
    <w:rsid w:val="6E52246E"/>
    <w:rsid w:val="6E812A41"/>
    <w:rsid w:val="6E9817AB"/>
    <w:rsid w:val="6F1874AE"/>
    <w:rsid w:val="6F4F5D09"/>
    <w:rsid w:val="6F6A0B6A"/>
    <w:rsid w:val="71E569F8"/>
    <w:rsid w:val="722D160C"/>
    <w:rsid w:val="730500A8"/>
    <w:rsid w:val="73834223"/>
    <w:rsid w:val="749C550A"/>
    <w:rsid w:val="75404290"/>
    <w:rsid w:val="760D6F22"/>
    <w:rsid w:val="77B91110"/>
    <w:rsid w:val="78E75809"/>
    <w:rsid w:val="790005F6"/>
    <w:rsid w:val="7CC74BE3"/>
    <w:rsid w:val="7D494CE4"/>
    <w:rsid w:val="7E7E584F"/>
    <w:rsid w:val="7E81225C"/>
    <w:rsid w:val="7EFE565A"/>
    <w:rsid w:val="7FE42AA2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大标宋_GBK" w:cs="方正大标宋_GBK" w:asciiTheme="minorHAnsi" w:hAnsiTheme="minorHAnsi"/>
      <w:kern w:val="2"/>
      <w:sz w:val="44"/>
      <w:szCs w:val="4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315"/>
    </w:pPr>
    <w:rPr>
      <w:sz w:val="32"/>
      <w:szCs w:val="32"/>
    </w:rPr>
  </w:style>
  <w:style w:type="paragraph" w:styleId="3">
    <w:name w:val="toc 5"/>
    <w:basedOn w:val="1"/>
    <w:next w:val="1"/>
    <w:qFormat/>
    <w:uiPriority w:val="0"/>
    <w:pPr>
      <w:ind w:left="1280"/>
      <w:jc w:val="left"/>
    </w:pPr>
    <w:rPr>
      <w:rFonts w:ascii="等线" w:eastAsia="等线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3">
    <w:name w:val="font5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61"/>
    <w:basedOn w:val="9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5">
    <w:name w:val="font3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6">
    <w:name w:val="font91"/>
    <w:basedOn w:val="9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7">
    <w:name w:val="font111"/>
    <w:basedOn w:val="9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8">
    <w:name w:val="font141"/>
    <w:basedOn w:val="9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19">
    <w:name w:val="font151"/>
    <w:basedOn w:val="9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20">
    <w:name w:val="font16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171"/>
    <w:basedOn w:val="9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18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3">
    <w:name w:val="font191"/>
    <w:basedOn w:val="9"/>
    <w:qFormat/>
    <w:uiPriority w:val="0"/>
    <w:rPr>
      <w:rFonts w:hint="default" w:ascii="Calibri" w:hAnsi="Calibri" w:cs="Calibri"/>
      <w:color w:val="548235"/>
      <w:sz w:val="24"/>
      <w:szCs w:val="24"/>
      <w:u w:val="none"/>
    </w:rPr>
  </w:style>
  <w:style w:type="character" w:customStyle="1" w:styleId="24">
    <w:name w:val="font201"/>
    <w:basedOn w:val="9"/>
    <w:qFormat/>
    <w:uiPriority w:val="0"/>
    <w:rPr>
      <w:rFonts w:hint="eastAsia" w:ascii="宋体" w:hAnsi="宋体" w:eastAsia="宋体" w:cs="宋体"/>
      <w:color w:val="548235"/>
      <w:sz w:val="24"/>
      <w:szCs w:val="24"/>
      <w:u w:val="none"/>
    </w:rPr>
  </w:style>
  <w:style w:type="character" w:customStyle="1" w:styleId="25">
    <w:name w:val="font121"/>
    <w:basedOn w:val="9"/>
    <w:qFormat/>
    <w:uiPriority w:val="0"/>
    <w:rPr>
      <w:rFonts w:hint="eastAsia" w:ascii="微软雅黑" w:hAnsi="微软雅黑" w:eastAsia="微软雅黑" w:cs="微软雅黑"/>
      <w:color w:val="548235"/>
      <w:sz w:val="24"/>
      <w:szCs w:val="24"/>
      <w:u w:val="none"/>
    </w:rPr>
  </w:style>
  <w:style w:type="character" w:customStyle="1" w:styleId="26">
    <w:name w:val="font212"/>
    <w:basedOn w:val="9"/>
    <w:qFormat/>
    <w:uiPriority w:val="0"/>
    <w:rPr>
      <w:rFonts w:hint="eastAsia" w:ascii="微软雅黑" w:hAnsi="微软雅黑" w:eastAsia="微软雅黑" w:cs="微软雅黑"/>
      <w:b/>
      <w:bCs/>
      <w:color w:val="548235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4451</Words>
  <Characters>4604</Characters>
  <Lines>0</Lines>
  <Paragraphs>0</Paragraphs>
  <TotalTime>13</TotalTime>
  <ScaleCrop>false</ScaleCrop>
  <LinksUpToDate>false</LinksUpToDate>
  <CharactersWithSpaces>4605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2024-05-16T01:49:00Z</dcterms:created>
  <dc:creator>WPS_1689579996</dc:creator>
  <cp:lastModifiedBy>吴文依</cp:lastModifiedBy>
  <cp:lastPrinted>2024-09-27T02:34:00Z</cp:lastPrinted>
  <dcterms:modified xsi:type="dcterms:W3CDTF">2024-10-08T01:58:39Z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A5C0AE465B764D93B2C97D525F6FB1D6_13</vt:lpwstr>
  </property>
</Properties>
</file>