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414" w:rightChars="-197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u w:val="none"/>
          <w:lang w:val="zh-CN"/>
        </w:rPr>
        <w:t>技术商务评审表</w:t>
      </w:r>
    </w:p>
    <w:p>
      <w:r>
        <w:rPr>
          <w:rFonts w:hint="eastAsia" w:ascii="宋体" w:hAnsi="宋体"/>
          <w:color w:val="auto"/>
          <w:szCs w:val="21"/>
          <w:highlight w:val="none"/>
          <w:lang w:val="zh-CN"/>
        </w:rPr>
        <w:t>项目名称：中山市社会保险基金管理局社会保险疑点信息数据核查项目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                     </w:t>
      </w:r>
    </w:p>
    <w:tbl>
      <w:tblPr>
        <w:tblStyle w:val="4"/>
        <w:tblW w:w="1446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78"/>
        <w:gridCol w:w="968"/>
        <w:gridCol w:w="10849"/>
        <w:gridCol w:w="7"/>
        <w:gridCol w:w="889"/>
        <w:gridCol w:w="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1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评审项目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分配分数</w:t>
            </w:r>
          </w:p>
        </w:tc>
        <w:tc>
          <w:tcPr>
            <w:tcW w:w="10849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评议内容</w:t>
            </w: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供应商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szCs w:val="21"/>
                <w:highlight w:val="none"/>
                <w:lang w:val="en-US" w:eastAsia="zh-CN"/>
              </w:rPr>
              <w:t>体系认证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368" w:hanging="420" w:firstLineChars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质量管理体系认证，得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ind w:left="368" w:hanging="420" w:firstLineChars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环境管理体系认证，得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ind w:left="368" w:hanging="420" w:firstLineChars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职业健康安全管理体系认证，得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注：响应文件中提供上述有效的认证证书复印件加盖公章，未按要求提供的不得分。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业绩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年以来完成的同类项目业绩情况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采购内容与本项目相适应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，每提供一份业绩得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分，本项最高得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分。</w:t>
            </w:r>
          </w:p>
          <w:p>
            <w:pPr>
              <w:rPr>
                <w:rFonts w:hint="eastAsia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注：响应文件中提供合同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关键页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复印件加盖供应商公章，未按要求提供的不得分。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用户评价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对上述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有效“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业绩”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业主单位出具的好评（结果为“好评”或“优秀”或相同含义的评价）进行评审，每提供1份得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分，满分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分。</w:t>
            </w:r>
          </w:p>
          <w:p>
            <w:pPr>
              <w:rPr>
                <w:rFonts w:hint="eastAsia" w:eastAsia="宋体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注：响应文件中提供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用户单位的盖章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服务评价证明文件（项目名称须与对应合同一致）复印件，未按要求提供的不得分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技术商务响应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1.对磋商文件技术商务条款响应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优于磋商文件要求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对磋商文件技术商务条款响应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完全满足磋商文件要求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3.对磋商文件技术商务条款有1条不响应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或负偏离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4.对磋商文件技术商务条款有2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条不响应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或负偏离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对磋商文件技术商务条款有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条或以上不响应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或负偏离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注：以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技术条款响应表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商务条款响应表”作为评审依据。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服务方案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项目实施的工作规范及工作流程全面、合理，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配备人员管理方案满足项目需求</w:t>
            </w:r>
            <w:r>
              <w:rPr>
                <w:rFonts w:hint="eastAsia"/>
                <w:color w:val="auto"/>
                <w:highlight w:val="none"/>
              </w:rPr>
              <w:t>、技术支持完善，得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highlight w:val="none"/>
              </w:rPr>
              <w:t>分；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</w:rPr>
              <w:t>项目实施方案比较完整详细，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配备人员管理方案满足项目需求</w:t>
            </w:r>
            <w:r>
              <w:rPr>
                <w:rFonts w:hint="eastAsia"/>
                <w:color w:val="auto"/>
                <w:highlight w:val="none"/>
              </w:rPr>
              <w:t>，技术支持合理，得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分；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项目实施方案简略，逻辑性一般，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配备人员管理方案基本满足项目需求</w:t>
            </w:r>
            <w:r>
              <w:rPr>
                <w:rFonts w:hint="eastAsia"/>
                <w:color w:val="auto"/>
                <w:highlight w:val="none"/>
              </w:rPr>
              <w:t>，可操作性较差的，得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分；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项目实施方案表述不清，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</w:rPr>
              <w:t>内容混乱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配备人员管理方案</w:t>
            </w:r>
            <w:r>
              <w:rPr>
                <w:rFonts w:hint="eastAsia"/>
                <w:color w:val="auto"/>
                <w:highlight w:val="none"/>
              </w:rPr>
              <w:t>不符合本项目需求，无法保证项目质量的，得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分；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未提供服务方案得0分。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管理服务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对供应商管理安全服务、保密服务和管理服务承诺进行评审：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1.安全管理服务、保密服务工作标准化程度高、合理有序，管理服务承诺新颖、合理，可操作性强得10分；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2.安全管理服务、保密服务工作标准化程度较高，管理服务承诺基本合理得7分；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3.安全管理服务、保密服务工作标准化程度一般，管理服务承诺简单得4分；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4.安全管理服务、保密服务工作标准化程度低，管理服务承诺差得1分。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应急预案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t>有详细完善的应急服务预案、反应迅速，方案科学，得10分；</w:t>
            </w:r>
          </w:p>
          <w:p>
            <w:pPr>
              <w:numPr>
                <w:ilvl w:val="0"/>
                <w:numId w:val="0"/>
              </w:numPr>
            </w:pP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应急服务预案基本符合本项目实际要求，反应时间合理，方案完整，得7分；</w:t>
            </w:r>
          </w:p>
          <w:p>
            <w:pPr>
              <w:numPr>
                <w:ilvl w:val="0"/>
                <w:numId w:val="0"/>
              </w:numPr>
            </w:pPr>
            <w: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t>应急服务预案简单粗糙，反应时间尚可，得4分；</w:t>
            </w:r>
          </w:p>
          <w:p>
            <w:pPr>
              <w:numPr>
                <w:ilvl w:val="0"/>
                <w:numId w:val="0"/>
              </w:numPr>
            </w:pPr>
            <w: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t>应急服务预案可行性差、反应迟缓，方案混乱，得1分；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t>无表述或不提供得0分。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100</w:t>
            </w:r>
          </w:p>
        </w:tc>
        <w:tc>
          <w:tcPr>
            <w:tcW w:w="10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得分总计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240" w:lineRule="exact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注：评委对各响应文件进行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评审</w:t>
      </w:r>
      <w:r>
        <w:rPr>
          <w:rFonts w:hint="eastAsia" w:ascii="宋体" w:hAnsi="宋体" w:cs="Arial"/>
          <w:color w:val="auto"/>
          <w:szCs w:val="21"/>
          <w:highlight w:val="none"/>
        </w:rPr>
        <w:t>，按规定的范围内进行量化打分。</w:t>
      </w:r>
    </w:p>
    <w:p>
      <w:pPr>
        <w:spacing w:line="240" w:lineRule="exact"/>
        <w:ind w:left="8820" w:right="-414" w:rightChars="-197" w:hanging="8820" w:hangingChars="4200"/>
        <w:rPr>
          <w:rFonts w:hint="eastAsia" w:ascii="宋体" w:hAnsi="宋体" w:cs="Arial"/>
          <w:color w:val="auto"/>
          <w:szCs w:val="21"/>
          <w:highlight w:val="none"/>
        </w:rPr>
      </w:pPr>
    </w:p>
    <w:p>
      <w:pPr>
        <w:spacing w:line="240" w:lineRule="exact"/>
        <w:ind w:left="8820" w:right="-414" w:rightChars="-197" w:hanging="8820" w:hangingChars="4200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 xml:space="preserve">评委签名：    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        2025年   月   日</w:t>
      </w:r>
      <w:r>
        <w:rPr>
          <w:rFonts w:hint="eastAsia" w:ascii="宋体" w:hAnsi="宋体" w:cs="Arial"/>
          <w:color w:val="auto"/>
          <w:szCs w:val="21"/>
          <w:highlight w:val="none"/>
        </w:rPr>
        <w:t xml:space="preserve">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體-簡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62A50"/>
    <w:rsid w:val="0B862A50"/>
    <w:rsid w:val="152D7799"/>
    <w:rsid w:val="376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中山市社会保险基金管理局</Company>
  <Pages>1</Pages>
  <Words>0</Words>
  <Characters>0</Characters>
  <Lines>0</Lines>
  <Paragraphs>0</Paragraphs>
  <TotalTime>980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2025-02-10T09:20:00Z</dcterms:created>
  <dc:creator>周菊心</dc:creator>
  <cp:lastModifiedBy>何玲珠</cp:lastModifiedBy>
  <dcterms:modified xsi:type="dcterms:W3CDTF">2025-02-12T08:44:48Z</dcterms:modified>
  <dc:title>技术商务评审表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