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firstLine="0" w:firstLineChars="0"/>
        <w:jc w:val="center"/>
        <w:outlineLvl w:val="9"/>
        <w:rPr>
          <w:rFonts w:hint="eastAsia" w:ascii="宋体" w:hAnsi="宋体" w:eastAsia="宋体" w:cs="宋体"/>
          <w:b/>
          <w:bCs/>
          <w:color w:val="auto"/>
          <w:sz w:val="32"/>
          <w:szCs w:val="32"/>
          <w:highlight w:val="none"/>
          <w:lang w:val="en-US" w:eastAsia="zh-CN"/>
        </w:rPr>
      </w:pPr>
      <w:r>
        <w:rPr>
          <w:rFonts w:hint="eastAsia" w:ascii="宋体" w:hAnsi="宋体"/>
          <w:b/>
          <w:bCs/>
          <w:color w:val="auto"/>
          <w:kern w:val="2"/>
          <w:sz w:val="32"/>
          <w:szCs w:val="32"/>
          <w:highlight w:val="none"/>
        </w:rPr>
        <w:t>用户需求书</w:t>
      </w:r>
    </w:p>
    <w:p>
      <w:pPr>
        <w:numPr>
          <w:ilvl w:val="0"/>
          <w:numId w:val="0"/>
        </w:numPr>
        <w:tabs>
          <w:tab w:val="left" w:pos="720"/>
        </w:tabs>
        <w:autoSpaceDE w:val="0"/>
        <w:autoSpaceDN w:val="0"/>
        <w:adjustRightInd w:val="0"/>
        <w:spacing w:line="360" w:lineRule="auto"/>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pPr>
        <w:tabs>
          <w:tab w:val="center" w:pos="4479"/>
        </w:tabs>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eastAsia="宋体" w:cs="宋体"/>
          <w:color w:val="auto"/>
          <w:sz w:val="21"/>
          <w:szCs w:val="21"/>
          <w:highlight w:val="none"/>
          <w:lang w:val="en-US" w:eastAsia="zh-CN"/>
        </w:rPr>
        <w:t>项目名称</w:t>
      </w:r>
      <w:r>
        <w:rPr>
          <w:rFonts w:hint="eastAsia" w:ascii="宋体" w:hAnsi="宋体"/>
          <w:szCs w:val="21"/>
          <w:lang w:eastAsia="zh-CN"/>
        </w:rPr>
        <w:t>：</w:t>
      </w:r>
      <w:r>
        <w:rPr>
          <w:rFonts w:hint="eastAsia" w:ascii="宋体" w:hAnsi="宋体"/>
          <w:szCs w:val="21"/>
        </w:rPr>
        <w:t>中山市社会保险基金管理局</w:t>
      </w:r>
      <w:r>
        <w:rPr>
          <w:rFonts w:hint="eastAsia" w:ascii="宋体" w:hAnsi="宋体" w:eastAsia="宋体" w:cs="宋体"/>
          <w:i w:val="0"/>
          <w:color w:val="auto"/>
          <w:sz w:val="21"/>
          <w:szCs w:val="21"/>
          <w:u w:val="none"/>
          <w:lang w:eastAsia="zh-CN"/>
        </w:rPr>
        <w:t>社会保险疑点信息数据核查项目</w:t>
      </w:r>
      <w:r>
        <w:rPr>
          <w:rFonts w:hint="eastAsia" w:ascii="宋体" w:hAnsi="宋体"/>
          <w:szCs w:val="21"/>
        </w:rPr>
        <w:t>。</w:t>
      </w:r>
    </w:p>
    <w:p>
      <w:pPr>
        <w:tabs>
          <w:tab w:val="center" w:pos="4479"/>
        </w:tabs>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供应商</w:t>
      </w:r>
      <w:r>
        <w:rPr>
          <w:rFonts w:hint="eastAsia" w:ascii="宋体" w:hAnsi="宋体"/>
          <w:szCs w:val="21"/>
        </w:rPr>
        <w:t>被确定为</w:t>
      </w:r>
      <w:r>
        <w:rPr>
          <w:rFonts w:hint="eastAsia" w:ascii="宋体" w:hAnsi="宋体"/>
          <w:szCs w:val="21"/>
          <w:lang w:eastAsia="zh-CN"/>
        </w:rPr>
        <w:t>成交供应商</w:t>
      </w:r>
      <w:r>
        <w:rPr>
          <w:rFonts w:hint="eastAsia" w:ascii="宋体" w:hAnsi="宋体"/>
          <w:szCs w:val="21"/>
        </w:rPr>
        <w:t>后，不许转包及擅自分包，否则被视为违约，追究当事人责任，并承担相应的经济损失。</w:t>
      </w:r>
    </w:p>
    <w:p>
      <w:pPr>
        <w:tabs>
          <w:tab w:val="center" w:pos="4479"/>
        </w:tabs>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采购人</w:t>
      </w:r>
      <w:r>
        <w:rPr>
          <w:rFonts w:hint="eastAsia" w:ascii="宋体" w:hAnsi="宋体"/>
          <w:szCs w:val="21"/>
        </w:rPr>
        <w:t>有权在对项目方案作出修改调整或对服务内容作适当增加或减少。</w:t>
      </w:r>
    </w:p>
    <w:p>
      <w:pPr>
        <w:tabs>
          <w:tab w:val="center" w:pos="4479"/>
        </w:tabs>
        <w:spacing w:line="360" w:lineRule="auto"/>
        <w:ind w:firstLine="420" w:firstLineChars="200"/>
        <w:rPr>
          <w:rFonts w:hint="eastAsia" w:ascii="宋体" w:hAnsi="宋体"/>
          <w:szCs w:val="21"/>
        </w:rPr>
      </w:pPr>
      <w:r>
        <w:rPr>
          <w:rFonts w:hint="eastAsia" w:ascii="宋体" w:hAnsi="宋体"/>
          <w:szCs w:val="21"/>
        </w:rPr>
        <w:t>4.若投标报价高于最高限价的作废标处理。</w:t>
      </w:r>
    </w:p>
    <w:p>
      <w:pPr>
        <w:numPr>
          <w:ilvl w:val="0"/>
          <w:numId w:val="0"/>
        </w:numPr>
        <w:tabs>
          <w:tab w:val="center" w:pos="4479"/>
        </w:tabs>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5.</w:t>
      </w:r>
      <w:r>
        <w:rPr>
          <w:rFonts w:hint="eastAsia" w:ascii="宋体" w:hAnsi="宋体" w:eastAsia="宋体" w:cs="Times New Roman"/>
          <w:sz w:val="21"/>
          <w:szCs w:val="21"/>
          <w:highlight w:val="none"/>
        </w:rPr>
        <w:t>标注“★”号条款为重要响应条款，不允许存在任何负偏离。如响应文件中对重要响应条款存在负偏离或未响应的，则将视为投标无效。</w:t>
      </w:r>
    </w:p>
    <w:p>
      <w:pPr>
        <w:numPr>
          <w:ilvl w:val="0"/>
          <w:numId w:val="0"/>
        </w:numPr>
        <w:tabs>
          <w:tab w:val="center" w:pos="4479"/>
        </w:tabs>
        <w:autoSpaceDE/>
        <w:autoSpaceDN/>
        <w:adjustRightInd/>
        <w:spacing w:line="360" w:lineRule="auto"/>
        <w:ind w:firstLine="420" w:firstLineChars="200"/>
        <w:outlineLvl w:val="9"/>
        <w:rPr>
          <w:rFonts w:hint="eastAsia" w:ascii="宋体" w:hAnsi="宋体" w:eastAsia="宋体" w:cs="Times New Roman"/>
          <w:b w:val="0"/>
          <w:bCs w:val="0"/>
          <w:szCs w:val="21"/>
          <w:highlight w:val="none"/>
        </w:rPr>
      </w:pPr>
      <w:r>
        <w:rPr>
          <w:rFonts w:hint="eastAsia" w:ascii="宋体" w:hAnsi="宋体" w:eastAsia="宋体" w:cs="Times New Roman"/>
          <w:sz w:val="21"/>
          <w:szCs w:val="21"/>
          <w:highlight w:val="none"/>
          <w:lang w:val="en-US" w:eastAsia="zh-CN"/>
        </w:rPr>
        <w:t>6.</w:t>
      </w:r>
      <w:r>
        <w:rPr>
          <w:rFonts w:hint="eastAsia" w:ascii="宋体" w:hAnsi="宋体" w:eastAsia="宋体" w:cs="Times New Roman"/>
          <w:kern w:val="0"/>
          <w:sz w:val="21"/>
          <w:szCs w:val="21"/>
          <w:highlight w:val="none"/>
          <w:lang w:val="zh-CN"/>
        </w:rPr>
        <w:t>本项目由成交供应商承包及负责磋商文件对成交供应商要求的一切事宜及责任。</w:t>
      </w:r>
    </w:p>
    <w:p>
      <w:pPr>
        <w:numPr>
          <w:ilvl w:val="0"/>
          <w:numId w:val="0"/>
        </w:numPr>
        <w:tabs>
          <w:tab w:val="left" w:pos="720"/>
        </w:tabs>
        <w:autoSpaceDE w:val="0"/>
        <w:autoSpaceDN w:val="0"/>
        <w:adjustRightInd w:val="0"/>
        <w:spacing w:line="360" w:lineRule="auto"/>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二、项目合作内容 </w:t>
      </w:r>
    </w:p>
    <w:p>
      <w:pPr>
        <w:keepNext w:val="0"/>
        <w:keepLines w:val="0"/>
        <w:pageBreakBefore w:val="0"/>
        <w:numPr>
          <w:ilvl w:val="0"/>
          <w:numId w:val="0"/>
        </w:numPr>
        <w:tabs>
          <w:tab w:val="center" w:pos="4479"/>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bidi="ar-SA"/>
        </w:rPr>
        <w:t>1.</w:t>
      </w:r>
      <w:r>
        <w:rPr>
          <w:rFonts w:hint="eastAsia" w:ascii="宋体" w:hAnsi="宋体" w:eastAsia="宋体" w:cs="Times New Roman"/>
          <w:color w:val="auto"/>
          <w:sz w:val="21"/>
          <w:szCs w:val="21"/>
          <w:lang w:val="en-US" w:eastAsia="zh-CN"/>
        </w:rPr>
        <w:t>工作要求：成交供应商安排专业人员根据采购人提供的数据人员名单及约定的工作流程进行疑点数据的逐一清理、排查。</w:t>
      </w:r>
    </w:p>
    <w:p>
      <w:pPr>
        <w:keepNext w:val="0"/>
        <w:keepLines w:val="0"/>
        <w:pageBreakBefore w:val="0"/>
        <w:numPr>
          <w:ilvl w:val="0"/>
          <w:numId w:val="0"/>
        </w:numPr>
        <w:tabs>
          <w:tab w:val="center" w:pos="4479"/>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bidi="ar-SA"/>
        </w:rPr>
        <w:t>2.</w:t>
      </w:r>
      <w:r>
        <w:rPr>
          <w:rFonts w:hint="eastAsia" w:ascii="宋体" w:hAnsi="宋体" w:eastAsia="宋体" w:cs="Times New Roman"/>
          <w:color w:val="auto"/>
          <w:sz w:val="21"/>
          <w:szCs w:val="21"/>
          <w:lang w:val="en-US" w:eastAsia="zh-CN"/>
        </w:rPr>
        <w:t>工作内容：</w:t>
      </w:r>
    </w:p>
    <w:p>
      <w:pPr>
        <w:keepNext w:val="0"/>
        <w:keepLines w:val="0"/>
        <w:pageBreakBefore w:val="0"/>
        <w:widowControl/>
        <w:numPr>
          <w:ilvl w:val="0"/>
          <w:numId w:val="0"/>
        </w:numPr>
        <w:tabs>
          <w:tab w:val="center" w:pos="4479"/>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（1）做好历史档案信息和疑点信息数据登记核查工作；</w:t>
      </w:r>
    </w:p>
    <w:p>
      <w:pPr>
        <w:keepNext w:val="0"/>
        <w:keepLines w:val="0"/>
        <w:pageBreakBefore w:val="0"/>
        <w:widowControl/>
        <w:numPr>
          <w:ilvl w:val="0"/>
          <w:numId w:val="0"/>
        </w:numPr>
        <w:tabs>
          <w:tab w:val="center" w:pos="4479"/>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（2）现场接访及接听来电，协助开展档案信息审核、有关数据情况的业务进度查询，协助开展业务咨询和解答工作；</w:t>
      </w:r>
    </w:p>
    <w:p>
      <w:pPr>
        <w:keepNext w:val="0"/>
        <w:keepLines w:val="0"/>
        <w:pageBreakBefore w:val="0"/>
        <w:widowControl/>
        <w:numPr>
          <w:ilvl w:val="0"/>
          <w:numId w:val="0"/>
        </w:numPr>
        <w:tabs>
          <w:tab w:val="center" w:pos="4479"/>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（3）进一步核实人有关疑点数据的参保人信息，电话跟踪确认疑点数据信息；</w:t>
      </w:r>
    </w:p>
    <w:p>
      <w:pPr>
        <w:keepNext w:val="0"/>
        <w:keepLines w:val="0"/>
        <w:pageBreakBefore w:val="0"/>
        <w:widowControl/>
        <w:numPr>
          <w:ilvl w:val="0"/>
          <w:numId w:val="0"/>
        </w:numPr>
        <w:tabs>
          <w:tab w:val="center" w:pos="4479"/>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（4）收取历史档案信息审核业务来往复函和参保人补充材料，按不同类型分派整理登记；</w:t>
      </w:r>
    </w:p>
    <w:p>
      <w:pPr>
        <w:keepNext w:val="0"/>
        <w:keepLines w:val="0"/>
        <w:pageBreakBefore w:val="0"/>
        <w:widowControl/>
        <w:numPr>
          <w:ilvl w:val="0"/>
          <w:numId w:val="0"/>
        </w:numPr>
        <w:tabs>
          <w:tab w:val="center" w:pos="4479"/>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（5）协助做好相关工作台帐的汇总和档案资料的整理；</w:t>
      </w:r>
    </w:p>
    <w:p>
      <w:pPr>
        <w:keepNext w:val="0"/>
        <w:keepLines w:val="0"/>
        <w:numPr>
          <w:ilvl w:val="0"/>
          <w:numId w:val="0"/>
        </w:numPr>
        <w:tabs>
          <w:tab w:val="center" w:pos="4479"/>
        </w:tabs>
        <w:spacing w:line="360" w:lineRule="auto"/>
        <w:ind w:firstLine="420" w:firstLineChars="200"/>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color w:val="auto"/>
          <w:sz w:val="21"/>
          <w:szCs w:val="21"/>
          <w:lang w:val="en-US" w:eastAsia="zh-CN"/>
        </w:rPr>
        <w:t>（6）完成采购人交代的其他相关工作。</w:t>
      </w:r>
    </w:p>
    <w:p>
      <w:pPr>
        <w:keepNext w:val="0"/>
        <w:keepLines w:val="0"/>
        <w:numPr>
          <w:ilvl w:val="0"/>
          <w:numId w:val="0"/>
        </w:numPr>
        <w:tabs>
          <w:tab w:val="center" w:pos="4479"/>
        </w:tabs>
        <w:spacing w:line="360" w:lineRule="auto"/>
        <w:ind w:firstLine="420" w:firstLineChars="200"/>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3.人员要求：项目要求驻场人员数量为2人。</w:t>
      </w:r>
    </w:p>
    <w:p>
      <w:pPr>
        <w:keepNext w:val="0"/>
        <w:keepLines w:val="0"/>
        <w:pageBreakBefore w:val="0"/>
        <w:widowControl/>
        <w:numPr>
          <w:ilvl w:val="0"/>
          <w:numId w:val="0"/>
        </w:numPr>
        <w:tabs>
          <w:tab w:val="left" w:pos="636"/>
        </w:tabs>
        <w:kinsoku/>
        <w:wordWrap/>
        <w:overflowPunct/>
        <w:topLinePunct w:val="0"/>
        <w:autoSpaceDE/>
        <w:autoSpaceDN/>
        <w:bidi w:val="0"/>
        <w:adjustRightInd w:val="0"/>
        <w:snapToGrid/>
        <w:spacing w:before="157" w:beforeLines="50" w:line="360" w:lineRule="auto"/>
        <w:ind w:leftChars="0"/>
        <w:textAlignment w:val="auto"/>
        <w:outlineLvl w:val="1"/>
        <w:rPr>
          <w:rFonts w:hint="eastAsia" w:ascii="宋体" w:hAnsi="宋体" w:eastAsia="宋体" w:cs="宋体"/>
          <w:b w:val="0"/>
          <w:bCs/>
          <w:color w:val="auto"/>
          <w:sz w:val="22"/>
          <w:szCs w:val="22"/>
          <w:highlight w:val="none"/>
          <w:lang w:val="en-US" w:eastAsia="zh-CN"/>
        </w:rPr>
      </w:pPr>
      <w:r>
        <w:rPr>
          <w:rFonts w:hint="eastAsia" w:ascii="宋体" w:hAnsi="宋体" w:eastAsia="宋体" w:cs="宋体"/>
          <w:b/>
          <w:bCs/>
          <w:color w:val="auto"/>
          <w:sz w:val="21"/>
          <w:szCs w:val="21"/>
          <w:highlight w:val="none"/>
          <w:lang w:val="en-US" w:eastAsia="zh-CN"/>
        </w:rPr>
        <w:t>三、服务期限：</w:t>
      </w:r>
      <w:r>
        <w:rPr>
          <w:rFonts w:hint="eastAsia" w:ascii="宋体" w:hAnsi="宋体" w:eastAsia="宋体" w:cs="宋体"/>
          <w:b w:val="0"/>
          <w:bCs/>
          <w:color w:val="auto"/>
          <w:sz w:val="21"/>
          <w:szCs w:val="21"/>
          <w:highlight w:val="none"/>
          <w:lang w:val="en-US" w:eastAsia="zh-CN"/>
        </w:rPr>
        <w:t>2025年</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月</w:t>
      </w:r>
      <w:r>
        <w:rPr>
          <w:rFonts w:hint="eastAsia" w:ascii="宋体" w:hAnsi="宋体" w:cs="宋体"/>
          <w:b w:val="0"/>
          <w:bCs/>
          <w:color w:val="auto"/>
          <w:sz w:val="21"/>
          <w:szCs w:val="21"/>
          <w:highlight w:val="none"/>
          <w:lang w:val="en-US" w:eastAsia="zh-CN"/>
        </w:rPr>
        <w:t>1日</w:t>
      </w:r>
      <w:r>
        <w:rPr>
          <w:rFonts w:hint="eastAsia" w:ascii="宋体" w:hAnsi="宋体" w:eastAsia="宋体" w:cs="宋体"/>
          <w:b w:val="0"/>
          <w:bCs/>
          <w:color w:val="auto"/>
          <w:sz w:val="21"/>
          <w:szCs w:val="21"/>
          <w:highlight w:val="none"/>
          <w:lang w:val="en-US" w:eastAsia="zh-CN"/>
        </w:rPr>
        <w:t>至</w:t>
      </w:r>
      <w:r>
        <w:rPr>
          <w:rFonts w:hint="eastAsia" w:ascii="宋体" w:hAnsi="宋体" w:cs="宋体"/>
          <w:b w:val="0"/>
          <w:bCs/>
          <w:color w:val="auto"/>
          <w:sz w:val="21"/>
          <w:szCs w:val="21"/>
          <w:highlight w:val="none"/>
          <w:lang w:val="en-US" w:eastAsia="zh-CN"/>
        </w:rPr>
        <w:t>2026年</w:t>
      </w:r>
      <w:r>
        <w:rPr>
          <w:rFonts w:hint="eastAsia" w:ascii="宋体" w:hAnsi="宋体" w:eastAsia="宋体" w:cs="宋体"/>
          <w:b w:val="0"/>
          <w:bCs/>
          <w:color w:val="auto"/>
          <w:sz w:val="21"/>
          <w:szCs w:val="21"/>
          <w:highlight w:val="none"/>
          <w:lang w:val="en-US" w:eastAsia="zh-CN"/>
        </w:rPr>
        <w:t>2月</w:t>
      </w:r>
      <w:r>
        <w:rPr>
          <w:rFonts w:hint="eastAsia" w:ascii="宋体" w:hAnsi="宋体" w:cs="宋体"/>
          <w:b w:val="0"/>
          <w:bCs/>
          <w:color w:val="auto"/>
          <w:sz w:val="21"/>
          <w:szCs w:val="21"/>
          <w:highlight w:val="none"/>
          <w:lang w:val="en-US" w:eastAsia="zh-CN"/>
        </w:rPr>
        <w:t>28日</w:t>
      </w:r>
      <w:r>
        <w:rPr>
          <w:rFonts w:hint="eastAsia" w:ascii="宋体" w:hAnsi="宋体" w:eastAsia="宋体" w:cs="宋体"/>
          <w:b w:val="0"/>
          <w:bCs/>
          <w:color w:val="auto"/>
          <w:sz w:val="21"/>
          <w:szCs w:val="21"/>
          <w:highlight w:val="none"/>
          <w:lang w:val="en-US" w:eastAsia="zh-CN"/>
        </w:rPr>
        <w:t>。</w:t>
      </w:r>
    </w:p>
    <w:p>
      <w:pPr>
        <w:keepNext w:val="0"/>
        <w:keepLines w:val="0"/>
        <w:pageBreakBefore w:val="0"/>
        <w:widowControl/>
        <w:numPr>
          <w:ilvl w:val="0"/>
          <w:numId w:val="0"/>
        </w:numPr>
        <w:tabs>
          <w:tab w:val="left" w:pos="720"/>
        </w:tabs>
        <w:kinsoku/>
        <w:wordWrap/>
        <w:overflowPunct/>
        <w:topLinePunct w:val="0"/>
        <w:autoSpaceDE w:val="0"/>
        <w:autoSpaceDN w:val="0"/>
        <w:bidi w:val="0"/>
        <w:adjustRightInd w:val="0"/>
        <w:snapToGrid/>
        <w:spacing w:before="0" w:beforeLines="0" w:line="360" w:lineRule="auto"/>
        <w:ind w:leftChars="0"/>
        <w:textAlignment w:val="auto"/>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四、质量考核</w:t>
      </w:r>
    </w:p>
    <w:p>
      <w:pPr>
        <w:keepNext w:val="0"/>
        <w:keepLines w:val="0"/>
        <w:pageBreakBefore w:val="0"/>
        <w:widowControl/>
        <w:numPr>
          <w:ilvl w:val="0"/>
          <w:numId w:val="0"/>
        </w:numPr>
        <w:tabs>
          <w:tab w:val="center" w:pos="4479"/>
        </w:tabs>
        <w:kinsoku/>
        <w:wordWrap/>
        <w:overflowPunct/>
        <w:topLinePunct w:val="0"/>
        <w:autoSpaceDE/>
        <w:autoSpaceDN/>
        <w:bidi w:val="0"/>
        <w:adjustRightInd/>
        <w:snapToGrid/>
        <w:spacing w:before="0" w:beforeLines="0" w:line="360" w:lineRule="auto"/>
        <w:ind w:left="0" w:leftChars="0" w:firstLine="420" w:firstLineChars="200"/>
        <w:textAlignment w:val="auto"/>
        <w:outlineLvl w:val="9"/>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lang w:val="en-US" w:eastAsia="zh-CN"/>
        </w:rPr>
        <w:t>成交供应商应按时、按质、按量完成采购人委托的业务，遵守相关规章制度和保密管理规定，并依约定和相关法律规定接受采购人的监督检查和业务指导。</w:t>
      </w:r>
    </w:p>
    <w:p>
      <w:pPr>
        <w:keepNext w:val="0"/>
        <w:keepLines w:val="0"/>
        <w:pageBreakBefore w:val="0"/>
        <w:widowControl/>
        <w:numPr>
          <w:ilvl w:val="0"/>
          <w:numId w:val="0"/>
        </w:numPr>
        <w:tabs>
          <w:tab w:val="left" w:pos="720"/>
        </w:tabs>
        <w:kinsoku/>
        <w:wordWrap/>
        <w:overflowPunct/>
        <w:topLinePunct w:val="0"/>
        <w:autoSpaceDE w:val="0"/>
        <w:autoSpaceDN w:val="0"/>
        <w:bidi w:val="0"/>
        <w:adjustRightInd w:val="0"/>
        <w:snapToGrid/>
        <w:spacing w:before="0" w:beforeLines="0" w:line="360" w:lineRule="auto"/>
        <w:ind w:leftChars="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五、付款方式：</w:t>
      </w:r>
    </w:p>
    <w:p>
      <w:pPr>
        <w:keepNext w:val="0"/>
        <w:keepLines w:val="0"/>
        <w:pageBreakBefore w:val="0"/>
        <w:widowControl/>
        <w:numPr>
          <w:ilvl w:val="0"/>
          <w:numId w:val="0"/>
        </w:numPr>
        <w:tabs>
          <w:tab w:val="center" w:pos="4479"/>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sz w:val="21"/>
          <w:szCs w:val="21"/>
          <w:lang w:val="en-US" w:eastAsia="zh-CN"/>
        </w:rPr>
        <w:t>1.</w:t>
      </w:r>
      <w:r>
        <w:rPr>
          <w:rFonts w:hint="eastAsia" w:ascii="宋体" w:hAnsi="宋体" w:eastAsia="宋体" w:cs="Times New Roman"/>
          <w:b w:val="0"/>
          <w:bCs w:val="0"/>
          <w:color w:val="auto"/>
          <w:sz w:val="21"/>
          <w:szCs w:val="21"/>
          <w:lang w:val="en-US" w:eastAsia="zh-CN"/>
        </w:rPr>
        <w:t>付款方式：银行转账。</w:t>
      </w:r>
    </w:p>
    <w:p>
      <w:pPr>
        <w:keepNext w:val="0"/>
        <w:keepLines w:val="0"/>
        <w:pageBreakBefore w:val="0"/>
        <w:widowControl/>
        <w:numPr>
          <w:ilvl w:val="0"/>
          <w:numId w:val="0"/>
        </w:numPr>
        <w:tabs>
          <w:tab w:val="center" w:pos="4479"/>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b w:val="0"/>
          <w:bCs w:val="0"/>
          <w:sz w:val="21"/>
          <w:szCs w:val="21"/>
          <w:lang w:val="en-US" w:eastAsia="zh-CN"/>
        </w:rPr>
        <w:t>2.</w:t>
      </w:r>
      <w:r>
        <w:rPr>
          <w:rFonts w:hint="eastAsia" w:ascii="宋体" w:hAnsi="宋体" w:eastAsia="宋体" w:cs="Times New Roman"/>
          <w:b w:val="0"/>
          <w:bCs w:val="0"/>
          <w:color w:val="auto"/>
          <w:sz w:val="21"/>
          <w:szCs w:val="21"/>
          <w:lang w:val="en-US" w:eastAsia="zh-CN"/>
        </w:rPr>
        <w:t>结算方式：</w:t>
      </w:r>
      <w:r>
        <w:rPr>
          <w:rFonts w:hint="eastAsia" w:ascii="宋体" w:hAnsi="宋体" w:eastAsia="宋体" w:cs="Times New Roman"/>
          <w:color w:val="auto"/>
          <w:kern w:val="0"/>
          <w:sz w:val="21"/>
          <w:szCs w:val="21"/>
          <w:lang w:val="en-US" w:eastAsia="zh-CN"/>
        </w:rPr>
        <w:t>本项目费用分三期结算，成交供应商进场服务，</w:t>
      </w:r>
      <w:r>
        <w:rPr>
          <w:rFonts w:hint="eastAsia" w:ascii="宋体" w:hAnsi="宋体" w:eastAsia="宋体" w:cs="Times New Roman"/>
          <w:b w:val="0"/>
          <w:bCs w:val="0"/>
          <w:color w:val="000000"/>
          <w:sz w:val="21"/>
          <w:szCs w:val="21"/>
          <w:lang w:val="en-US" w:eastAsia="zh-CN"/>
        </w:rPr>
        <w:t>按质量完成</w:t>
      </w:r>
      <w:r>
        <w:rPr>
          <w:rFonts w:hint="eastAsia" w:ascii="宋体" w:hAnsi="宋体" w:eastAsia="宋体" w:cs="Times New Roman"/>
          <w:b w:val="0"/>
          <w:bCs w:val="0"/>
          <w:color w:val="auto"/>
          <w:sz w:val="21"/>
          <w:szCs w:val="21"/>
          <w:lang w:val="en-US" w:eastAsia="zh-CN"/>
        </w:rPr>
        <w:t>采购人</w:t>
      </w:r>
      <w:r>
        <w:rPr>
          <w:rFonts w:hint="eastAsia" w:ascii="宋体" w:hAnsi="宋体" w:eastAsia="宋体" w:cs="Times New Roman"/>
          <w:b w:val="0"/>
          <w:bCs w:val="0"/>
          <w:color w:val="000000"/>
          <w:sz w:val="21"/>
          <w:szCs w:val="21"/>
          <w:lang w:val="en-US" w:eastAsia="zh-CN"/>
        </w:rPr>
        <w:t>委托的业务，</w:t>
      </w:r>
      <w:r>
        <w:rPr>
          <w:rFonts w:hint="eastAsia" w:ascii="宋体" w:hAnsi="宋体" w:eastAsia="宋体" w:cs="Times New Roman"/>
          <w:color w:val="auto"/>
          <w:kern w:val="0"/>
          <w:sz w:val="21"/>
          <w:szCs w:val="21"/>
          <w:lang w:val="en-US" w:eastAsia="zh-CN"/>
        </w:rPr>
        <w:t>并通过</w:t>
      </w:r>
      <w:r>
        <w:rPr>
          <w:rFonts w:hint="eastAsia" w:ascii="宋体" w:hAnsi="宋体" w:eastAsia="宋体" w:cs="Times New Roman"/>
          <w:b w:val="0"/>
          <w:bCs w:val="0"/>
          <w:color w:val="auto"/>
          <w:sz w:val="21"/>
          <w:szCs w:val="21"/>
          <w:lang w:val="en-US" w:eastAsia="zh-CN"/>
        </w:rPr>
        <w:t>采购人</w:t>
      </w:r>
      <w:r>
        <w:rPr>
          <w:rFonts w:hint="eastAsia" w:ascii="宋体" w:hAnsi="宋体" w:eastAsia="宋体" w:cs="Times New Roman"/>
          <w:color w:val="auto"/>
          <w:kern w:val="0"/>
          <w:sz w:val="21"/>
          <w:szCs w:val="21"/>
          <w:lang w:val="en-US" w:eastAsia="zh-CN"/>
        </w:rPr>
        <w:t>的考核确认合格后支付费用</w:t>
      </w:r>
      <w:r>
        <w:rPr>
          <w:rFonts w:hint="eastAsia" w:ascii="宋体" w:hAnsi="宋体" w:eastAsia="宋体" w:cs="Times New Roman"/>
          <w:color w:val="auto"/>
          <w:kern w:val="0"/>
          <w:sz w:val="21"/>
          <w:szCs w:val="21"/>
          <w:highlight w:val="none"/>
          <w:lang w:val="en-US" w:eastAsia="zh-CN"/>
        </w:rPr>
        <w:t>。第一期费用支付合同金额40%金额，</w:t>
      </w:r>
      <w:r>
        <w:rPr>
          <w:rFonts w:hint="eastAsia" w:ascii="宋体" w:hAnsi="宋体" w:eastAsia="宋体" w:cs="Times New Roman"/>
          <w:color w:val="auto"/>
          <w:kern w:val="0"/>
          <w:sz w:val="21"/>
          <w:szCs w:val="21"/>
          <w:highlight w:val="none"/>
          <w:lang w:eastAsia="zh-CN"/>
        </w:rPr>
        <w:t>在签</w:t>
      </w:r>
      <w:bookmarkStart w:id="0" w:name="_GoBack"/>
      <w:bookmarkEnd w:id="0"/>
      <w:r>
        <w:rPr>
          <w:rFonts w:hint="eastAsia" w:ascii="宋体" w:hAnsi="宋体" w:eastAsia="宋体" w:cs="Times New Roman"/>
          <w:color w:val="auto"/>
          <w:kern w:val="0"/>
          <w:sz w:val="21"/>
          <w:szCs w:val="21"/>
          <w:highlight w:val="none"/>
          <w:lang w:eastAsia="zh-CN"/>
        </w:rPr>
        <w:t>订合同后</w:t>
      </w:r>
      <w:r>
        <w:rPr>
          <w:rFonts w:hint="eastAsia" w:ascii="宋体" w:hAnsi="宋体" w:eastAsia="宋体" w:cs="Times New Roman"/>
          <w:color w:val="auto"/>
          <w:kern w:val="0"/>
          <w:sz w:val="21"/>
          <w:szCs w:val="21"/>
          <w:highlight w:val="none"/>
          <w:lang w:val="en-US" w:eastAsia="zh-CN"/>
        </w:rPr>
        <w:t>15个工作日内凭成交供应商开具的正式发票及书面支付申请（成交供应商负有在先提供之义务）按支付流程支付；第二期费用支付合同金额45%金额，在第四季度的第二个月支付；第三期费用支付合同剩余款项，在完成服务期经验收合格后支付。</w:t>
      </w:r>
    </w:p>
    <w:p>
      <w:pPr>
        <w:keepNext w:val="0"/>
        <w:keepLines w:val="0"/>
        <w:pageBreakBefore w:val="0"/>
        <w:widowControl/>
        <w:numPr>
          <w:ilvl w:val="0"/>
          <w:numId w:val="0"/>
        </w:numPr>
        <w:tabs>
          <w:tab w:val="center" w:pos="4479"/>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因采购人使用的是财政资金，采购人在前述规定的付款时间为政府采购支付部门提出办理财政支付申请手续的时间（不含政府财政支付部门审核的时间），在规定时间内提出支付申请手续后即视为采购人已经按期支付。</w:t>
      </w:r>
    </w:p>
    <w:p>
      <w:pPr>
        <w:keepNext w:val="0"/>
        <w:keepLines w:val="0"/>
        <w:pageBreakBefore w:val="0"/>
        <w:widowControl/>
        <w:numPr>
          <w:ilvl w:val="0"/>
          <w:numId w:val="0"/>
        </w:numPr>
        <w:tabs>
          <w:tab w:val="left" w:pos="720"/>
        </w:tabs>
        <w:kinsoku/>
        <w:wordWrap/>
        <w:overflowPunct/>
        <w:topLinePunct w:val="0"/>
        <w:autoSpaceDE w:val="0"/>
        <w:autoSpaceDN w:val="0"/>
        <w:bidi w:val="0"/>
        <w:adjustRightInd w:val="0"/>
        <w:snapToGrid/>
        <w:spacing w:before="0" w:beforeLines="0" w:line="360" w:lineRule="auto"/>
        <w:ind w:leftChars="0"/>
        <w:textAlignment w:val="auto"/>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六、保险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负责其派出的现场服务人员</w:t>
      </w:r>
      <w:r>
        <w:rPr>
          <w:rFonts w:hint="eastAsia" w:ascii="宋体" w:hAnsi="宋体" w:eastAsia="宋体" w:cs="宋体"/>
          <w:color w:val="auto"/>
          <w:sz w:val="21"/>
          <w:szCs w:val="21"/>
          <w:lang w:eastAsia="zh-CN"/>
        </w:rPr>
        <w:t>的社会保险或人身意外保险</w:t>
      </w:r>
      <w:r>
        <w:rPr>
          <w:rFonts w:hint="eastAsia" w:ascii="宋体" w:hAnsi="宋体" w:eastAsia="宋体" w:cs="宋体"/>
          <w:color w:val="auto"/>
          <w:sz w:val="21"/>
          <w:szCs w:val="21"/>
        </w:rPr>
        <w:t>。</w:t>
      </w:r>
    </w:p>
    <w:p>
      <w:pPr>
        <w:keepNext w:val="0"/>
        <w:keepLines w:val="0"/>
        <w:pageBreakBefore w:val="0"/>
        <w:widowControl/>
        <w:numPr>
          <w:ilvl w:val="0"/>
          <w:numId w:val="0"/>
        </w:numPr>
        <w:tabs>
          <w:tab w:val="left" w:pos="720"/>
        </w:tabs>
        <w:kinsoku/>
        <w:wordWrap/>
        <w:overflowPunct/>
        <w:topLinePunct w:val="0"/>
        <w:autoSpaceDE w:val="0"/>
        <w:autoSpaceDN w:val="0"/>
        <w:bidi w:val="0"/>
        <w:adjustRightInd w:val="0"/>
        <w:snapToGrid/>
        <w:spacing w:line="360" w:lineRule="auto"/>
        <w:ind w:firstLine="0" w:firstLineChars="0"/>
        <w:jc w:val="left"/>
        <w:textAlignment w:val="auto"/>
        <w:outlineLvl w:val="1"/>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highlight w:val="none"/>
          <w:lang w:bidi="ar-SA"/>
        </w:rPr>
        <w:t>采购人配合内容</w:t>
      </w:r>
    </w:p>
    <w:p>
      <w:pPr>
        <w:numPr>
          <w:ilvl w:val="0"/>
          <w:numId w:val="0"/>
        </w:numPr>
        <w:tabs>
          <w:tab w:val="left" w:pos="720"/>
        </w:tabs>
        <w:adjustRightInd w:val="0"/>
        <w:snapToGrid w:val="0"/>
        <w:spacing w:beforeLines="0" w:afterLines="0" w:line="360" w:lineRule="auto"/>
        <w:ind w:left="0" w:firstLine="420" w:firstLineChars="200"/>
        <w:rPr>
          <w:rFonts w:ascii="宋体" w:hAnsi="宋体"/>
          <w:color w:val="auto"/>
          <w:szCs w:val="21"/>
          <w:highlight w:val="none"/>
        </w:rPr>
      </w:pPr>
      <w:r>
        <w:rPr>
          <w:rFonts w:hint="eastAsia" w:ascii="宋体" w:hAnsi="宋体" w:eastAsia="宋体" w:cs="宋体"/>
          <w:color w:val="auto"/>
          <w:szCs w:val="21"/>
          <w:highlight w:val="none"/>
        </w:rPr>
        <w:t>供应商在响应文件中可列明在项目实施过程中要求采购人提供的配合条件，所列配合条件采购人将尽量配合解决，但不代表采购人全部接受，采购人有权全部或部分拒绝供应商提出的配合条件。</w:t>
      </w:r>
    </w:p>
    <w:p>
      <w:pPr>
        <w:pStyle w:val="2"/>
        <w:rPr>
          <w:rFonts w:hint="eastAsia"/>
          <w:lang w:val="zh-CN"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F1504"/>
    <w:rsid w:val="02EE78E9"/>
    <w:rsid w:val="2ED44E14"/>
    <w:rsid w:val="542E1D0D"/>
    <w:rsid w:val="7DEF1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中山市社会保险基金管理局</Company>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2025-02-10T09:14:00Z</dcterms:created>
  <dc:creator>周菊心</dc:creator>
  <cp:lastModifiedBy>周菊心</cp:lastModifiedBy>
  <dcterms:modified xsi:type="dcterms:W3CDTF">2025-02-13T06:49:29Z</dcterms:modified>
  <dc:title>用户需求书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