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widowControl w:val="0"/>
        <w:spacing w:before="0" w:after="0" w:line="240" w:lineRule="auto"/>
        <w:jc w:val="center"/>
        <w:rPr>
          <w:rFonts w:hint="eastAsia" w:ascii="方正小标宋简体" w:hAnsi="方正小标宋简体" w:eastAsia="方正小标宋简体" w:cs="方正小标宋简体"/>
          <w:color w:val="auto"/>
          <w:sz w:val="44"/>
          <w:szCs w:val="44"/>
          <w:highlight w:val="none"/>
          <w:lang w:eastAsia="zh-CN"/>
        </w:rPr>
      </w:pPr>
      <w:bookmarkStart w:id="0" w:name="_Toc387315934"/>
      <w:bookmarkStart w:id="1" w:name="_Toc428957085"/>
      <w:r>
        <w:rPr>
          <w:rFonts w:hint="eastAsia" w:ascii="方正小标宋简体" w:hAnsi="方正小标宋简体" w:eastAsia="方正小标宋简体" w:cs="方正小标宋简体"/>
          <w:color w:val="auto"/>
          <w:kern w:val="44"/>
          <w:sz w:val="44"/>
          <w:szCs w:val="44"/>
          <w:highlight w:val="none"/>
        </w:rPr>
        <w:t>用户需求书</w:t>
      </w:r>
    </w:p>
    <w:p>
      <w:pPr>
        <w:tabs>
          <w:tab w:val="left" w:pos="480"/>
        </w:tabs>
        <w:spacing w:line="360" w:lineRule="auto"/>
        <w:outlineLvl w:val="1"/>
        <w:rPr>
          <w:rFonts w:hint="eastAsia" w:ascii="宋体" w:hAnsi="宋体" w:eastAsia="宋体" w:cs="宋体"/>
          <w:szCs w:val="21"/>
        </w:rPr>
      </w:pPr>
      <w:r>
        <w:rPr>
          <w:rFonts w:hint="eastAsia" w:ascii="宋体" w:hAnsi="宋体" w:eastAsia="宋体" w:cs="宋体"/>
          <w:b/>
          <w:bCs/>
          <w:szCs w:val="21"/>
        </w:rPr>
        <w:t>一、总则</w:t>
      </w:r>
    </w:p>
    <w:p>
      <w:pPr>
        <w:tabs>
          <w:tab w:val="center" w:pos="4479"/>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项目名称</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中山市社会保险基金管理局社保关系</w:t>
      </w:r>
      <w:bookmarkStart w:id="2" w:name="_GoBack"/>
      <w:bookmarkEnd w:id="2"/>
      <w:r>
        <w:rPr>
          <w:rFonts w:hint="eastAsia" w:ascii="宋体" w:hAnsi="宋体" w:eastAsia="宋体" w:cs="宋体"/>
          <w:szCs w:val="21"/>
          <w:highlight w:val="none"/>
        </w:rPr>
        <w:t>转移邮寄项目。</w:t>
      </w:r>
    </w:p>
    <w:p>
      <w:pPr>
        <w:tabs>
          <w:tab w:val="center" w:pos="4479"/>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被确定为</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后，不许转包及擅自分包，否则被视为违约，追究当事人责任，并承担相应的经济损失。</w:t>
      </w:r>
    </w:p>
    <w:p>
      <w:pPr>
        <w:tabs>
          <w:tab w:val="center" w:pos="4479"/>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人有权在对项目方案作出修改调整或对服务内容作适当增加或减少。</w:t>
      </w:r>
    </w:p>
    <w:p>
      <w:pPr>
        <w:tabs>
          <w:tab w:val="center" w:pos="4479"/>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4.若</w:t>
      </w:r>
      <w:r>
        <w:rPr>
          <w:rFonts w:hint="eastAsia" w:ascii="宋体" w:hAnsi="宋体" w:eastAsia="宋体" w:cs="宋体"/>
          <w:szCs w:val="21"/>
          <w:highlight w:val="none"/>
          <w:lang w:eastAsia="zh-CN"/>
        </w:rPr>
        <w:t>响应报价</w:t>
      </w:r>
      <w:r>
        <w:rPr>
          <w:rFonts w:hint="eastAsia" w:ascii="宋体" w:hAnsi="宋体" w:eastAsia="宋体" w:cs="宋体"/>
          <w:szCs w:val="21"/>
          <w:highlight w:val="none"/>
        </w:rPr>
        <w:t>高于最高限价的作废标处理。</w:t>
      </w:r>
    </w:p>
    <w:p>
      <w:pPr>
        <w:spacing w:line="360" w:lineRule="auto"/>
        <w:outlineLvl w:val="1"/>
        <w:rPr>
          <w:rFonts w:hint="eastAsia" w:ascii="宋体" w:hAnsi="宋体" w:eastAsia="宋体" w:cs="宋体"/>
          <w:szCs w:val="21"/>
        </w:rPr>
      </w:pPr>
      <w:r>
        <w:rPr>
          <w:rFonts w:hint="eastAsia" w:ascii="宋体" w:hAnsi="宋体" w:eastAsia="宋体" w:cs="宋体"/>
          <w:b/>
          <w:bCs/>
          <w:szCs w:val="21"/>
        </w:rPr>
        <w:t>二、项目合作内容</w:t>
      </w:r>
      <w:r>
        <w:rPr>
          <w:rFonts w:hint="eastAsia" w:ascii="宋体" w:hAnsi="宋体" w:eastAsia="宋体" w:cs="宋体"/>
          <w:szCs w:val="21"/>
        </w:rPr>
        <w:t xml:space="preserve"> </w:t>
      </w:r>
    </w:p>
    <w:p>
      <w:pPr>
        <w:spacing w:line="360" w:lineRule="auto"/>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双方以中山市社会保险基金管理局</w:t>
      </w:r>
      <w:r>
        <w:rPr>
          <w:rFonts w:hint="eastAsia" w:ascii="宋体" w:hAnsi="宋体" w:eastAsia="宋体" w:cs="宋体"/>
          <w:color w:val="000000"/>
          <w:kern w:val="2"/>
          <w:sz w:val="21"/>
          <w:szCs w:val="21"/>
          <w:highlight w:val="none"/>
          <w:lang w:val="en-US" w:eastAsia="zh-CN" w:bidi="ar"/>
        </w:rPr>
        <w:t>EMS标准快递制作、</w:t>
      </w:r>
      <w:r>
        <w:rPr>
          <w:rFonts w:hint="eastAsia" w:ascii="宋体" w:hAnsi="宋体" w:eastAsia="宋体" w:cs="宋体"/>
          <w:szCs w:val="21"/>
          <w:highlight w:val="none"/>
        </w:rPr>
        <w:t>普通挂号信制作与邮递服务为合作内容。具体包括：</w:t>
      </w:r>
    </w:p>
    <w:p>
      <w:pPr>
        <w:numPr>
          <w:ilvl w:val="0"/>
          <w:numId w:val="1"/>
        </w:numPr>
        <w:spacing w:line="360" w:lineRule="auto"/>
        <w:rPr>
          <w:rFonts w:hint="eastAsia" w:ascii="宋体" w:hAnsi="宋体" w:eastAsia="宋体" w:cs="宋体"/>
          <w:szCs w:val="21"/>
          <w:highlight w:val="none"/>
        </w:rPr>
      </w:pPr>
      <w:r>
        <w:rPr>
          <w:rFonts w:hint="eastAsia" w:ascii="宋体" w:hAnsi="宋体" w:eastAsia="宋体" w:cs="宋体"/>
          <w:color w:val="000000"/>
          <w:kern w:val="2"/>
          <w:sz w:val="21"/>
          <w:szCs w:val="21"/>
          <w:highlight w:val="none"/>
          <w:lang w:val="en-US" w:eastAsia="zh-CN" w:bidi="ar"/>
        </w:rPr>
        <w:t>EMS标准快递及</w:t>
      </w:r>
      <w:r>
        <w:rPr>
          <w:rFonts w:hint="eastAsia" w:ascii="宋体" w:hAnsi="宋体" w:eastAsia="宋体" w:cs="宋体"/>
          <w:szCs w:val="21"/>
          <w:highlight w:val="none"/>
        </w:rPr>
        <w:t>挂号信的制作、打印、封装；</w:t>
      </w:r>
    </w:p>
    <w:p>
      <w:pPr>
        <w:numPr>
          <w:ilvl w:val="0"/>
          <w:numId w:val="1"/>
        </w:numPr>
        <w:spacing w:line="360" w:lineRule="auto"/>
        <w:ind w:left="0" w:firstLine="470" w:firstLineChars="224"/>
        <w:rPr>
          <w:rFonts w:hint="eastAsia" w:ascii="宋体" w:hAnsi="宋体" w:eastAsia="宋体" w:cs="宋体"/>
          <w:szCs w:val="21"/>
          <w:highlight w:val="none"/>
        </w:rPr>
      </w:pPr>
      <w:r>
        <w:rPr>
          <w:rFonts w:hint="eastAsia" w:ascii="宋体" w:hAnsi="宋体" w:eastAsia="宋体" w:cs="宋体"/>
          <w:color w:val="000000"/>
          <w:kern w:val="2"/>
          <w:sz w:val="21"/>
          <w:szCs w:val="21"/>
          <w:highlight w:val="none"/>
          <w:lang w:val="en-US" w:eastAsia="zh-CN" w:bidi="ar"/>
        </w:rPr>
        <w:t>EMS及</w:t>
      </w:r>
      <w:r>
        <w:rPr>
          <w:rFonts w:hint="eastAsia" w:ascii="宋体" w:hAnsi="宋体" w:eastAsia="宋体" w:cs="宋体"/>
          <w:szCs w:val="21"/>
          <w:highlight w:val="none"/>
        </w:rPr>
        <w:t>挂号信邮递及邮递结果反馈：</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须在收到转移资料后两个工作日内完成邮寄工作，同时将电子文件（回置挂号信回执号）及实际寄出情况返回给</w:t>
      </w:r>
      <w:r>
        <w:rPr>
          <w:rFonts w:hint="eastAsia" w:ascii="宋体" w:hAnsi="宋体" w:eastAsia="宋体" w:cs="宋体"/>
          <w:szCs w:val="21"/>
          <w:highlight w:val="none"/>
          <w:lang w:eastAsia="zh-CN"/>
        </w:rPr>
        <w:t>采购人，邮件号返单频次是半个月一次</w:t>
      </w:r>
      <w:r>
        <w:rPr>
          <w:rFonts w:hint="eastAsia" w:ascii="宋体" w:hAnsi="宋体" w:eastAsia="宋体" w:cs="宋体"/>
          <w:szCs w:val="21"/>
          <w:highlight w:val="none"/>
        </w:rPr>
        <w:t>；</w:t>
      </w:r>
    </w:p>
    <w:p>
      <w:pPr>
        <w:numPr>
          <w:ilvl w:val="0"/>
          <w:numId w:val="1"/>
        </w:numPr>
        <w:spacing w:line="360" w:lineRule="auto"/>
        <w:ind w:left="0" w:firstLine="473"/>
        <w:rPr>
          <w:rFonts w:hint="eastAsia" w:ascii="宋体" w:hAnsi="宋体" w:eastAsia="宋体" w:cs="宋体"/>
          <w:szCs w:val="21"/>
          <w:highlight w:val="none"/>
        </w:rPr>
      </w:pPr>
      <w:r>
        <w:rPr>
          <w:rFonts w:hint="eastAsia" w:ascii="宋体" w:hAnsi="宋体" w:eastAsia="宋体" w:cs="宋体"/>
          <w:szCs w:val="21"/>
          <w:highlight w:val="none"/>
        </w:rPr>
        <w:t>投递市外异地社保机构寄给</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人的社保关系转移信函；</w:t>
      </w:r>
    </w:p>
    <w:p>
      <w:pPr>
        <w:numPr>
          <w:ilvl w:val="0"/>
          <w:numId w:val="1"/>
        </w:numPr>
        <w:tabs>
          <w:tab w:val="left" w:pos="0"/>
        </w:tabs>
        <w:spacing w:line="360" w:lineRule="auto"/>
        <w:ind w:left="13" w:firstLine="460"/>
        <w:rPr>
          <w:rFonts w:hint="eastAsia" w:ascii="宋体" w:hAnsi="宋体" w:eastAsia="宋体" w:cs="宋体"/>
          <w:szCs w:val="21"/>
          <w:highlight w:val="none"/>
        </w:rPr>
      </w:pPr>
      <w:r>
        <w:rPr>
          <w:rFonts w:hint="eastAsia" w:ascii="宋体" w:hAnsi="宋体" w:eastAsia="宋体" w:cs="宋体"/>
          <w:szCs w:val="21"/>
          <w:highlight w:val="none"/>
        </w:rPr>
        <w:t>业务资料交接</w:t>
      </w:r>
      <w:r>
        <w:rPr>
          <w:rFonts w:hint="eastAsia" w:ascii="宋体" w:hAnsi="宋体" w:eastAsia="宋体" w:cs="宋体"/>
          <w:szCs w:val="21"/>
          <w:highlight w:val="none"/>
          <w:lang w:eastAsia="zh-CN"/>
        </w:rPr>
        <w:t>频率为市局每周二次，逢周三、周五实行，分局</w:t>
      </w:r>
      <w:r>
        <w:rPr>
          <w:rFonts w:hint="eastAsia" w:ascii="宋体" w:hAnsi="宋体" w:eastAsia="宋体" w:cs="宋体"/>
          <w:szCs w:val="21"/>
          <w:highlight w:val="none"/>
        </w:rPr>
        <w:t>为每周</w:t>
      </w:r>
      <w:r>
        <w:rPr>
          <w:rFonts w:hint="eastAsia" w:ascii="宋体" w:hAnsi="宋体" w:eastAsia="宋体" w:cs="宋体"/>
          <w:szCs w:val="21"/>
          <w:highlight w:val="none"/>
          <w:lang w:eastAsia="zh-CN"/>
        </w:rPr>
        <w:t>二</w:t>
      </w:r>
      <w:r>
        <w:rPr>
          <w:rFonts w:hint="eastAsia" w:ascii="宋体" w:hAnsi="宋体" w:eastAsia="宋体" w:cs="宋体"/>
          <w:szCs w:val="21"/>
          <w:highlight w:val="none"/>
        </w:rPr>
        <w:t>次，逢周</w:t>
      </w:r>
      <w:r>
        <w:rPr>
          <w:rFonts w:hint="eastAsia" w:ascii="宋体" w:hAnsi="宋体" w:eastAsia="宋体" w:cs="宋体"/>
          <w:szCs w:val="21"/>
          <w:highlight w:val="none"/>
          <w:lang w:eastAsia="zh-CN"/>
        </w:rPr>
        <w:t>二、</w:t>
      </w:r>
      <w:r>
        <w:rPr>
          <w:rFonts w:hint="eastAsia" w:ascii="宋体" w:hAnsi="宋体" w:eastAsia="宋体" w:cs="宋体"/>
          <w:szCs w:val="21"/>
          <w:highlight w:val="none"/>
        </w:rPr>
        <w:t>周</w:t>
      </w:r>
      <w:r>
        <w:rPr>
          <w:rFonts w:hint="eastAsia" w:ascii="宋体" w:hAnsi="宋体" w:eastAsia="宋体" w:cs="宋体"/>
          <w:szCs w:val="21"/>
          <w:highlight w:val="none"/>
          <w:lang w:eastAsia="zh-CN"/>
        </w:rPr>
        <w:t>四</w:t>
      </w:r>
      <w:r>
        <w:rPr>
          <w:rFonts w:hint="eastAsia" w:ascii="宋体" w:hAnsi="宋体" w:eastAsia="宋体" w:cs="宋体"/>
          <w:szCs w:val="21"/>
          <w:highlight w:val="none"/>
        </w:rPr>
        <w:t xml:space="preserve">实行， </w:t>
      </w:r>
      <w:r>
        <w:rPr>
          <w:rFonts w:hint="eastAsia" w:ascii="宋体" w:hAnsi="宋体" w:eastAsia="宋体" w:cs="宋体"/>
          <w:szCs w:val="21"/>
          <w:highlight w:val="none"/>
          <w:lang w:eastAsia="zh-CN"/>
        </w:rPr>
        <w:t>如遇特殊情况或寄件数超过</w:t>
      </w:r>
      <w:r>
        <w:rPr>
          <w:rFonts w:hint="eastAsia" w:ascii="宋体" w:hAnsi="宋体" w:eastAsia="宋体" w:cs="宋体"/>
          <w:szCs w:val="21"/>
          <w:highlight w:val="none"/>
          <w:lang w:val="en-US" w:eastAsia="zh-CN"/>
        </w:rPr>
        <w:t>200件的应增加交接次数，</w:t>
      </w:r>
      <w:r>
        <w:rPr>
          <w:rFonts w:hint="eastAsia" w:ascii="宋体" w:hAnsi="宋体" w:eastAsia="宋体" w:cs="宋体"/>
          <w:szCs w:val="21"/>
          <w:highlight w:val="none"/>
        </w:rPr>
        <w:t>遇节假日</w:t>
      </w:r>
      <w:r>
        <w:rPr>
          <w:rFonts w:hint="eastAsia" w:ascii="宋体" w:hAnsi="宋体" w:eastAsia="宋体" w:cs="宋体"/>
          <w:szCs w:val="21"/>
          <w:highlight w:val="none"/>
          <w:lang w:eastAsia="zh-CN"/>
        </w:rPr>
        <w:t>业务资料交接时间提前或</w:t>
      </w:r>
      <w:r>
        <w:rPr>
          <w:rFonts w:hint="eastAsia" w:ascii="宋体" w:hAnsi="宋体" w:eastAsia="宋体" w:cs="宋体"/>
          <w:szCs w:val="21"/>
          <w:highlight w:val="none"/>
        </w:rPr>
        <w:t>顺延；</w:t>
      </w:r>
    </w:p>
    <w:p>
      <w:pPr>
        <w:numPr>
          <w:ilvl w:val="0"/>
          <w:numId w:val="1"/>
        </w:numPr>
        <w:tabs>
          <w:tab w:val="left" w:pos="0"/>
        </w:tabs>
        <w:spacing w:line="360" w:lineRule="auto"/>
        <w:ind w:left="0" w:firstLine="473"/>
        <w:rPr>
          <w:rFonts w:hint="eastAsia" w:ascii="宋体" w:hAnsi="宋体" w:eastAsia="宋体" w:cs="宋体"/>
          <w:szCs w:val="21"/>
          <w:highlight w:val="none"/>
        </w:rPr>
      </w:pPr>
      <w:r>
        <w:rPr>
          <w:rFonts w:hint="eastAsia" w:ascii="宋体" w:hAnsi="宋体" w:eastAsia="宋体" w:cs="宋体"/>
          <w:color w:val="000000"/>
          <w:kern w:val="2"/>
          <w:sz w:val="21"/>
          <w:szCs w:val="21"/>
          <w:highlight w:val="none"/>
          <w:lang w:val="en-US" w:eastAsia="zh-CN" w:bidi="ar"/>
        </w:rPr>
        <w:t>EMS标准快递、</w:t>
      </w:r>
      <w:r>
        <w:rPr>
          <w:rFonts w:hint="eastAsia" w:ascii="宋体" w:hAnsi="宋体" w:eastAsia="宋体" w:cs="宋体"/>
          <w:szCs w:val="21"/>
          <w:highlight w:val="none"/>
        </w:rPr>
        <w:t>挂号信退信反馈：无法投递的信函，由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分类、汇总、注明退信原因，并制作退信情况反馈表，与原件一起反馈给</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w:t>
      </w:r>
    </w:p>
    <w:p>
      <w:pPr>
        <w:numPr>
          <w:ilvl w:val="0"/>
          <w:numId w:val="1"/>
        </w:numPr>
        <w:tabs>
          <w:tab w:val="left" w:pos="0"/>
        </w:tabs>
        <w:spacing w:line="360" w:lineRule="auto"/>
        <w:ind w:left="0" w:firstLine="473"/>
        <w:rPr>
          <w:rFonts w:hint="eastAsia" w:ascii="宋体" w:hAnsi="宋体" w:eastAsia="宋体" w:cs="宋体"/>
          <w:szCs w:val="21"/>
          <w:highlight w:val="none"/>
        </w:rPr>
      </w:pPr>
      <w:r>
        <w:rPr>
          <w:rFonts w:hint="eastAsia" w:ascii="宋体" w:hAnsi="宋体" w:eastAsia="宋体" w:cs="宋体"/>
          <w:color w:val="000000"/>
          <w:kern w:val="2"/>
          <w:sz w:val="21"/>
          <w:szCs w:val="21"/>
          <w:highlight w:val="none"/>
          <w:lang w:val="en-US" w:eastAsia="zh-CN" w:bidi="ar"/>
        </w:rPr>
        <w:t>EMS标准快递收件、投递、返单。</w:t>
      </w:r>
    </w:p>
    <w:p>
      <w:pPr>
        <w:spacing w:line="360" w:lineRule="auto"/>
        <w:outlineLvl w:val="1"/>
        <w:rPr>
          <w:rFonts w:hint="eastAsia" w:ascii="宋体" w:hAnsi="宋体" w:eastAsia="宋体" w:cs="宋体"/>
          <w:szCs w:val="21"/>
        </w:rPr>
      </w:pPr>
      <w:r>
        <w:rPr>
          <w:rFonts w:hint="eastAsia" w:ascii="宋体" w:hAnsi="宋体" w:eastAsia="宋体" w:cs="宋体"/>
          <w:b/>
          <w:bCs/>
          <w:szCs w:val="21"/>
        </w:rPr>
        <w:t>三、项目要求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1.投递质量：</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提供的</w:t>
      </w:r>
      <w:r>
        <w:rPr>
          <w:rFonts w:hint="eastAsia" w:ascii="宋体" w:hAnsi="宋体" w:eastAsia="宋体" w:cs="宋体"/>
          <w:color w:val="000000"/>
          <w:kern w:val="2"/>
          <w:sz w:val="21"/>
          <w:szCs w:val="21"/>
          <w:highlight w:val="none"/>
          <w:lang w:val="en-US" w:eastAsia="zh-CN" w:bidi="ar"/>
        </w:rPr>
        <w:t>EMS及</w:t>
      </w:r>
      <w:r>
        <w:rPr>
          <w:rFonts w:hint="eastAsia" w:ascii="宋体" w:hAnsi="宋体" w:eastAsia="宋体" w:cs="宋体"/>
          <w:szCs w:val="21"/>
          <w:highlight w:val="none"/>
        </w:rPr>
        <w:t>普通挂号</w:t>
      </w:r>
      <w:r>
        <w:rPr>
          <w:rFonts w:hint="eastAsia" w:ascii="宋体" w:hAnsi="宋体" w:eastAsia="宋体" w:cs="宋体"/>
          <w:szCs w:val="21"/>
          <w:highlight w:val="none"/>
          <w:lang w:eastAsia="zh-CN"/>
        </w:rPr>
        <w:t>信</w:t>
      </w:r>
      <w:r>
        <w:rPr>
          <w:rFonts w:hint="eastAsia" w:ascii="宋体" w:hAnsi="宋体" w:eastAsia="宋体" w:cs="宋体"/>
          <w:szCs w:val="21"/>
          <w:highlight w:val="none"/>
        </w:rPr>
        <w:t>的投递，各地区投递的妥投率不低于95%；</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2.投递时限：</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须在收到转移</w:t>
      </w:r>
      <w:r>
        <w:rPr>
          <w:rFonts w:hint="eastAsia" w:ascii="宋体" w:hAnsi="宋体" w:eastAsia="宋体" w:cs="宋体"/>
          <w:color w:val="auto"/>
          <w:szCs w:val="21"/>
          <w:highlight w:val="none"/>
        </w:rPr>
        <w:t>资料后</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个工作日内送</w:t>
      </w:r>
      <w:r>
        <w:rPr>
          <w:rFonts w:hint="eastAsia" w:ascii="宋体" w:hAnsi="宋体" w:eastAsia="宋体" w:cs="宋体"/>
          <w:szCs w:val="21"/>
          <w:highlight w:val="none"/>
        </w:rPr>
        <w:t>达信函；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3.损失处理：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color w:val="auto"/>
          <w:szCs w:val="21"/>
          <w:highlight w:val="none"/>
        </w:rPr>
        <w:t>如因</w:t>
      </w:r>
      <w:r>
        <w:rPr>
          <w:rFonts w:hint="eastAsia" w:ascii="宋体" w:hAnsi="宋体" w:eastAsia="宋体" w:cs="宋体"/>
          <w:szCs w:val="21"/>
          <w:highlight w:val="none"/>
          <w:lang w:eastAsia="zh-CN"/>
        </w:rPr>
        <w:t>成交供应商</w:t>
      </w:r>
      <w:r>
        <w:rPr>
          <w:rFonts w:hint="eastAsia" w:ascii="宋体" w:hAnsi="宋体" w:eastAsia="宋体" w:cs="宋体"/>
          <w:color w:val="auto"/>
          <w:szCs w:val="21"/>
          <w:highlight w:val="none"/>
        </w:rPr>
        <w:t>原因造成信函丢失或损毁</w:t>
      </w:r>
      <w:r>
        <w:rPr>
          <w:rFonts w:hint="eastAsia" w:ascii="宋体" w:hAnsi="宋体" w:eastAsia="宋体" w:cs="宋体"/>
          <w:color w:val="auto"/>
          <w:szCs w:val="21"/>
          <w:highlight w:val="none"/>
          <w:lang w:val="en-US" w:eastAsia="zh-CN"/>
        </w:rPr>
        <w:t>等未完整将信件成功送达采购</w:t>
      </w:r>
      <w:r>
        <w:rPr>
          <w:rFonts w:hint="eastAsia" w:ascii="宋体" w:hAnsi="宋体" w:eastAsia="宋体" w:cs="宋体"/>
          <w:szCs w:val="21"/>
          <w:highlight w:val="none"/>
        </w:rPr>
        <w:t>人</w:t>
      </w:r>
      <w:r>
        <w:rPr>
          <w:rFonts w:hint="eastAsia" w:ascii="宋体" w:hAnsi="宋体" w:eastAsia="宋体" w:cs="宋体"/>
          <w:color w:val="auto"/>
          <w:szCs w:val="21"/>
          <w:highlight w:val="none"/>
          <w:lang w:val="en-US" w:eastAsia="zh-CN"/>
        </w:rPr>
        <w:t>指定收件人</w:t>
      </w:r>
      <w:r>
        <w:rPr>
          <w:rFonts w:hint="eastAsia" w:ascii="宋体" w:hAnsi="宋体" w:eastAsia="宋体" w:cs="宋体"/>
          <w:color w:val="auto"/>
          <w:szCs w:val="21"/>
          <w:highlight w:val="none"/>
        </w:rPr>
        <w:t>的，</w:t>
      </w:r>
      <w:r>
        <w:rPr>
          <w:rFonts w:hint="eastAsia" w:ascii="宋体" w:hAnsi="宋体" w:eastAsia="宋体" w:cs="宋体"/>
          <w:szCs w:val="21"/>
          <w:highlight w:val="none"/>
          <w:lang w:eastAsia="zh-CN"/>
        </w:rPr>
        <w:t>成交供应商</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立即向</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w:t>
      </w:r>
      <w:r>
        <w:rPr>
          <w:rFonts w:hint="eastAsia" w:ascii="宋体" w:hAnsi="宋体" w:eastAsia="宋体" w:cs="宋体"/>
          <w:color w:val="auto"/>
          <w:szCs w:val="21"/>
          <w:highlight w:val="none"/>
        </w:rPr>
        <w:t>反映，按照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中华人民共和国邮政法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及实施细则等</w:t>
      </w:r>
      <w:r>
        <w:rPr>
          <w:rFonts w:hint="eastAsia" w:ascii="宋体" w:hAnsi="宋体" w:eastAsia="宋体" w:cs="宋体"/>
          <w:color w:val="auto"/>
          <w:szCs w:val="21"/>
          <w:highlight w:val="none"/>
        </w:rPr>
        <w:t>有关规定赔偿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如上述赔偿无法弥补</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w:t>
      </w:r>
      <w:r>
        <w:rPr>
          <w:rFonts w:hint="eastAsia" w:ascii="宋体" w:hAnsi="宋体" w:eastAsia="宋体" w:cs="宋体"/>
          <w:color w:val="auto"/>
          <w:szCs w:val="21"/>
          <w:highlight w:val="none"/>
          <w:lang w:val="en-US" w:eastAsia="zh-CN"/>
        </w:rPr>
        <w:t>实际损失的，</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w:t>
      </w:r>
      <w:r>
        <w:rPr>
          <w:rFonts w:hint="eastAsia" w:ascii="宋体" w:hAnsi="宋体" w:eastAsia="宋体" w:cs="宋体"/>
          <w:color w:val="auto"/>
          <w:szCs w:val="21"/>
          <w:highlight w:val="none"/>
          <w:lang w:val="en-US" w:eastAsia="zh-CN"/>
        </w:rPr>
        <w:t>保留继续追偿的权利</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（2）因</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的过错，导致</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人与客户或第三方发生纠纷的，</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应协助</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人妥善处理纠纷，如给</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人带来经济损失的，</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应负责赔偿</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人向其客户支付的各类款项包括但不限于违约金、赔偿金等，以及产生应付仲裁费用、律师费、</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人与第三方达成和解需要支付的合理费用等；</w:t>
      </w:r>
    </w:p>
    <w:p>
      <w:pPr>
        <w:widowControl/>
        <w:tabs>
          <w:tab w:val="left" w:pos="540"/>
        </w:tabs>
        <w:spacing w:line="360" w:lineRule="auto"/>
        <w:ind w:firstLine="460" w:firstLineChars="200"/>
        <w:jc w:val="left"/>
        <w:rPr>
          <w:rFonts w:hint="eastAsia" w:ascii="宋体" w:hAnsi="宋体" w:eastAsia="宋体" w:cs="宋体"/>
          <w:spacing w:val="10"/>
          <w:szCs w:val="21"/>
          <w:highlight w:val="none"/>
        </w:rPr>
      </w:pPr>
      <w:r>
        <w:rPr>
          <w:rFonts w:hint="eastAsia" w:ascii="宋体" w:hAnsi="宋体" w:eastAsia="宋体" w:cs="宋体"/>
          <w:spacing w:val="10"/>
          <w:szCs w:val="21"/>
          <w:highlight w:val="none"/>
        </w:rPr>
        <w:t>4.</w:t>
      </w:r>
      <w:r>
        <w:rPr>
          <w:rFonts w:hint="eastAsia" w:ascii="宋体" w:hAnsi="宋体" w:eastAsia="宋体" w:cs="宋体"/>
          <w:szCs w:val="21"/>
          <w:highlight w:val="none"/>
          <w:lang w:eastAsia="zh-CN"/>
        </w:rPr>
        <w:t>采购</w:t>
      </w:r>
      <w:r>
        <w:rPr>
          <w:rFonts w:hint="eastAsia" w:ascii="宋体" w:hAnsi="宋体" w:eastAsia="宋体" w:cs="宋体"/>
          <w:spacing w:val="10"/>
          <w:szCs w:val="21"/>
          <w:highlight w:val="none"/>
        </w:rPr>
        <w:t>人有权对项目要求进行调整，</w:t>
      </w:r>
      <w:r>
        <w:rPr>
          <w:rFonts w:hint="eastAsia" w:ascii="宋体" w:hAnsi="宋体" w:eastAsia="宋体" w:cs="宋体"/>
          <w:spacing w:val="10"/>
          <w:szCs w:val="21"/>
          <w:highlight w:val="none"/>
          <w:lang w:eastAsia="zh-CN"/>
        </w:rPr>
        <w:t>成交供应商</w:t>
      </w:r>
      <w:r>
        <w:rPr>
          <w:rFonts w:hint="eastAsia" w:ascii="宋体" w:hAnsi="宋体" w:eastAsia="宋体" w:cs="宋体"/>
          <w:spacing w:val="10"/>
          <w:szCs w:val="21"/>
          <w:highlight w:val="none"/>
        </w:rPr>
        <w:t>必须满足调整要求；</w:t>
      </w:r>
    </w:p>
    <w:p>
      <w:pPr>
        <w:widowControl/>
        <w:tabs>
          <w:tab w:val="left" w:pos="540"/>
        </w:tabs>
        <w:spacing w:line="360" w:lineRule="auto"/>
        <w:ind w:firstLine="460" w:firstLineChars="200"/>
        <w:jc w:val="left"/>
        <w:rPr>
          <w:rFonts w:hint="eastAsia" w:ascii="宋体" w:hAnsi="宋体" w:eastAsia="宋体" w:cs="宋体"/>
          <w:spacing w:val="10"/>
          <w:szCs w:val="21"/>
          <w:highlight w:val="none"/>
        </w:rPr>
      </w:pPr>
      <w:r>
        <w:rPr>
          <w:rFonts w:hint="eastAsia" w:ascii="宋体" w:hAnsi="宋体" w:eastAsia="宋体" w:cs="宋体"/>
          <w:spacing w:val="10"/>
          <w:szCs w:val="21"/>
          <w:highlight w:val="none"/>
        </w:rPr>
        <w:t>5.</w:t>
      </w:r>
      <w:r>
        <w:rPr>
          <w:rFonts w:hint="eastAsia" w:ascii="宋体" w:hAnsi="宋体" w:eastAsia="宋体" w:cs="宋体"/>
          <w:szCs w:val="21"/>
          <w:highlight w:val="none"/>
          <w:lang w:eastAsia="zh-CN"/>
        </w:rPr>
        <w:t>采购</w:t>
      </w:r>
      <w:r>
        <w:rPr>
          <w:rFonts w:hint="eastAsia" w:ascii="宋体" w:hAnsi="宋体" w:eastAsia="宋体" w:cs="宋体"/>
          <w:spacing w:val="10"/>
          <w:szCs w:val="21"/>
          <w:highlight w:val="none"/>
        </w:rPr>
        <w:t>人对</w:t>
      </w:r>
      <w:r>
        <w:rPr>
          <w:rFonts w:hint="eastAsia" w:ascii="宋体" w:hAnsi="宋体" w:eastAsia="宋体" w:cs="宋体"/>
          <w:spacing w:val="10"/>
          <w:szCs w:val="21"/>
          <w:highlight w:val="none"/>
          <w:lang w:eastAsia="zh-CN"/>
        </w:rPr>
        <w:t>成交供应商</w:t>
      </w:r>
      <w:r>
        <w:rPr>
          <w:rFonts w:hint="eastAsia" w:ascii="宋体" w:hAnsi="宋体" w:eastAsia="宋体" w:cs="宋体"/>
          <w:spacing w:val="10"/>
          <w:szCs w:val="21"/>
          <w:highlight w:val="none"/>
        </w:rPr>
        <w:t>代收及登记的信函信息的质量进行监督；</w:t>
      </w:r>
    </w:p>
    <w:p>
      <w:pPr>
        <w:widowControl/>
        <w:tabs>
          <w:tab w:val="left" w:pos="540"/>
        </w:tabs>
        <w:spacing w:line="360" w:lineRule="auto"/>
        <w:ind w:firstLine="460" w:firstLineChars="200"/>
        <w:jc w:val="left"/>
        <w:rPr>
          <w:rFonts w:hint="eastAsia" w:ascii="宋体" w:hAnsi="宋体" w:eastAsia="宋体" w:cs="宋体"/>
          <w:spacing w:val="10"/>
          <w:szCs w:val="21"/>
          <w:highlight w:val="none"/>
        </w:rPr>
      </w:pPr>
      <w:r>
        <w:rPr>
          <w:rFonts w:hint="eastAsia" w:ascii="宋体" w:hAnsi="宋体" w:eastAsia="宋体" w:cs="宋体"/>
          <w:spacing w:val="10"/>
          <w:szCs w:val="21"/>
          <w:highlight w:val="none"/>
        </w:rPr>
        <w:t>6.</w:t>
      </w:r>
      <w:r>
        <w:rPr>
          <w:rFonts w:hint="eastAsia" w:ascii="宋体" w:hAnsi="宋体" w:eastAsia="宋体" w:cs="宋体"/>
          <w:szCs w:val="21"/>
          <w:highlight w:val="none"/>
          <w:lang w:eastAsia="zh-CN"/>
        </w:rPr>
        <w:t>采购</w:t>
      </w:r>
      <w:r>
        <w:rPr>
          <w:rFonts w:hint="eastAsia" w:ascii="宋体" w:hAnsi="宋体" w:eastAsia="宋体" w:cs="宋体"/>
          <w:spacing w:val="10"/>
          <w:szCs w:val="21"/>
          <w:highlight w:val="none"/>
        </w:rPr>
        <w:t>人有权对项目要求进行调整，</w:t>
      </w:r>
      <w:r>
        <w:rPr>
          <w:rFonts w:hint="eastAsia" w:ascii="宋体" w:hAnsi="宋体" w:eastAsia="宋体" w:cs="宋体"/>
          <w:spacing w:val="10"/>
          <w:szCs w:val="21"/>
          <w:highlight w:val="none"/>
          <w:lang w:eastAsia="zh-CN"/>
        </w:rPr>
        <w:t>成交供应商</w:t>
      </w:r>
      <w:r>
        <w:rPr>
          <w:rFonts w:hint="eastAsia" w:ascii="宋体" w:hAnsi="宋体" w:eastAsia="宋体" w:cs="宋体"/>
          <w:spacing w:val="10"/>
          <w:szCs w:val="21"/>
          <w:highlight w:val="none"/>
        </w:rPr>
        <w:t>必须满足调整要求；</w:t>
      </w:r>
    </w:p>
    <w:p>
      <w:pPr>
        <w:widowControl/>
        <w:tabs>
          <w:tab w:val="left" w:pos="540"/>
        </w:tabs>
        <w:spacing w:line="360" w:lineRule="auto"/>
        <w:ind w:firstLine="460" w:firstLineChars="200"/>
        <w:jc w:val="left"/>
        <w:rPr>
          <w:rFonts w:hint="eastAsia" w:ascii="宋体" w:hAnsi="宋体" w:eastAsia="宋体" w:cs="宋体"/>
          <w:spacing w:val="10"/>
          <w:szCs w:val="21"/>
          <w:highlight w:val="none"/>
          <w:lang w:eastAsia="zh-CN"/>
        </w:rPr>
      </w:pPr>
      <w:r>
        <w:rPr>
          <w:rFonts w:hint="eastAsia" w:ascii="宋体" w:hAnsi="宋体" w:eastAsia="宋体" w:cs="宋体"/>
          <w:spacing w:val="10"/>
          <w:szCs w:val="21"/>
          <w:highlight w:val="none"/>
        </w:rPr>
        <w:t>7.</w:t>
      </w:r>
      <w:r>
        <w:rPr>
          <w:rFonts w:hint="eastAsia" w:ascii="宋体" w:hAnsi="宋体" w:eastAsia="宋体" w:cs="宋体"/>
          <w:spacing w:val="10"/>
          <w:szCs w:val="21"/>
          <w:highlight w:val="none"/>
          <w:lang w:eastAsia="zh-CN"/>
        </w:rPr>
        <w:t>供应商</w:t>
      </w:r>
      <w:r>
        <w:rPr>
          <w:rFonts w:hint="eastAsia" w:ascii="宋体" w:hAnsi="宋体" w:eastAsia="宋体" w:cs="宋体"/>
          <w:spacing w:val="10"/>
          <w:szCs w:val="21"/>
          <w:highlight w:val="none"/>
        </w:rPr>
        <w:t>应自行承担所有与本次竞标有关的全部费用</w:t>
      </w:r>
      <w:r>
        <w:rPr>
          <w:rFonts w:hint="eastAsia" w:ascii="宋体" w:hAnsi="宋体" w:eastAsia="宋体" w:cs="宋体"/>
          <w:spacing w:val="10"/>
          <w:szCs w:val="21"/>
          <w:highlight w:val="none"/>
          <w:lang w:eastAsia="zh-CN"/>
        </w:rPr>
        <w:t>。</w:t>
      </w:r>
    </w:p>
    <w:p>
      <w:pPr>
        <w:widowControl/>
        <w:tabs>
          <w:tab w:val="left" w:pos="540"/>
        </w:tabs>
        <w:spacing w:line="360" w:lineRule="auto"/>
        <w:jc w:val="left"/>
        <w:outlineLvl w:val="1"/>
        <w:rPr>
          <w:rFonts w:hint="eastAsia" w:ascii="宋体" w:hAnsi="宋体" w:eastAsia="宋体" w:cs="宋体"/>
          <w:spacing w:val="10"/>
          <w:szCs w:val="21"/>
        </w:rPr>
      </w:pPr>
      <w:r>
        <w:rPr>
          <w:rFonts w:hint="eastAsia" w:ascii="宋体" w:hAnsi="宋体" w:eastAsia="宋体" w:cs="宋体"/>
          <w:b/>
          <w:bCs/>
          <w:spacing w:val="10"/>
          <w:szCs w:val="21"/>
        </w:rPr>
        <w:t>四</w:t>
      </w:r>
      <w:r>
        <w:rPr>
          <w:rFonts w:hint="eastAsia" w:ascii="宋体" w:hAnsi="宋体" w:eastAsia="宋体" w:cs="宋体"/>
          <w:b/>
          <w:bCs/>
          <w:spacing w:val="10"/>
          <w:szCs w:val="21"/>
          <w:lang w:eastAsia="zh-CN"/>
        </w:rPr>
        <w:t>、</w:t>
      </w:r>
      <w:r>
        <w:rPr>
          <w:rFonts w:hint="eastAsia" w:ascii="宋体" w:hAnsi="宋体" w:eastAsia="宋体" w:cs="宋体"/>
          <w:b/>
          <w:bCs/>
          <w:spacing w:val="10"/>
          <w:szCs w:val="21"/>
        </w:rPr>
        <w:t>付款方式</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eastAsia" w:ascii="宋体" w:hAnsi="宋体" w:eastAsia="宋体" w:cs="宋体"/>
          <w:color w:val="000000"/>
          <w:szCs w:val="21"/>
          <w:highlight w:val="none"/>
          <w:lang w:val="zh-CN"/>
        </w:rPr>
      </w:pPr>
      <w:r>
        <w:rPr>
          <w:rFonts w:hint="eastAsia" w:ascii="宋体" w:hAnsi="宋体" w:eastAsia="宋体" w:cs="宋体"/>
          <w:color w:val="000000"/>
          <w:kern w:val="2"/>
          <w:sz w:val="21"/>
          <w:szCs w:val="21"/>
          <w:highlight w:val="none"/>
          <w:lang w:val="en-US" w:eastAsia="zh-CN" w:bidi="ar"/>
        </w:rPr>
        <w:t>1、EMS、</w:t>
      </w:r>
      <w:r>
        <w:rPr>
          <w:rFonts w:hint="eastAsia" w:ascii="宋体" w:hAnsi="宋体" w:eastAsia="宋体" w:cs="宋体"/>
          <w:color w:val="000000"/>
          <w:szCs w:val="21"/>
          <w:highlight w:val="none"/>
          <w:lang w:val="zh-CN"/>
        </w:rPr>
        <w:t>约投挂号、普通挂号信的邮寄、制作及数据处理的费用支付，以合同签定为准。</w:t>
      </w:r>
    </w:p>
    <w:p>
      <w:pPr>
        <w:pStyle w:val="5"/>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outlineLvl w:val="9"/>
        <w:rPr>
          <w:rFonts w:hint="eastAsia" w:ascii="宋体" w:hAnsi="宋体" w:eastAsia="宋体" w:cs="宋体"/>
          <w:sz w:val="21"/>
          <w:szCs w:val="21"/>
          <w:highlight w:val="none"/>
          <w:lang w:val="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按月支付：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每月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前将上月客户已签收的投递清单、退信清单（清单应逐户注明退信原因）及应付款项清单传真</w:t>
      </w:r>
      <w:r>
        <w:rPr>
          <w:rFonts w:hint="eastAsia" w:ascii="宋体" w:hAnsi="宋体" w:eastAsia="宋体" w:cs="宋体"/>
          <w:color w:val="auto"/>
          <w:sz w:val="21"/>
          <w:szCs w:val="21"/>
          <w:highlight w:val="none"/>
          <w:lang w:val="en-US" w:eastAsia="zh-CN"/>
        </w:rPr>
        <w:t>或以其他书面形式</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核实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全部验收合格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按采购人要求及最终确认的结算金额</w:t>
      </w:r>
      <w:r>
        <w:rPr>
          <w:rFonts w:hint="eastAsia" w:ascii="宋体" w:hAnsi="宋体" w:eastAsia="宋体" w:cs="宋体"/>
          <w:color w:val="auto"/>
          <w:sz w:val="21"/>
          <w:szCs w:val="21"/>
          <w:highlight w:val="none"/>
          <w:lang w:eastAsia="zh-CN"/>
        </w:rPr>
        <w:t>开具正规的发票交采购人办理支付；（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）其中</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年1</w:t>
      </w:r>
      <w:r>
        <w:rPr>
          <w:rFonts w:hint="eastAsia" w:ascii="宋体" w:hAnsi="宋体" w:eastAsia="宋体" w:cs="宋体"/>
          <w:sz w:val="21"/>
          <w:szCs w:val="21"/>
          <w:highlight w:val="none"/>
          <w:lang w:val="en-US" w:eastAsia="zh-CN"/>
        </w:rPr>
        <w:t>2月的费用，由成交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val="en-US" w:eastAsia="zh-CN"/>
        </w:rPr>
        <w:t>在12月20日前</w:t>
      </w:r>
      <w:r>
        <w:rPr>
          <w:rFonts w:hint="eastAsia" w:ascii="宋体" w:hAnsi="宋体" w:eastAsia="宋体" w:cs="宋体"/>
          <w:sz w:val="21"/>
          <w:szCs w:val="21"/>
          <w:highlight w:val="none"/>
        </w:rPr>
        <w:t>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rPr>
        <w:t>客户已签收的投递清单、退信清单（清单应逐户注明退信原因）及应付款项清单传真</w:t>
      </w:r>
      <w:r>
        <w:rPr>
          <w:rFonts w:hint="eastAsia" w:ascii="宋体" w:hAnsi="宋体" w:eastAsia="宋体" w:cs="宋体"/>
          <w:sz w:val="21"/>
          <w:szCs w:val="21"/>
          <w:highlight w:val="none"/>
          <w:lang w:val="en-US" w:eastAsia="zh-CN"/>
        </w:rPr>
        <w:t>或以其他书面形式</w:t>
      </w:r>
      <w:r>
        <w:rPr>
          <w:rFonts w:hint="eastAsia" w:ascii="宋体" w:hAnsi="宋体" w:eastAsia="宋体" w:cs="宋体"/>
          <w:sz w:val="21"/>
          <w:szCs w:val="21"/>
          <w:highlight w:val="none"/>
        </w:rPr>
        <w:t>给甲方核实</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验收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lang w:val="en-US" w:eastAsia="zh-CN"/>
        </w:rPr>
        <w:t>全部验收合格</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val="en-US" w:eastAsia="zh-CN"/>
        </w:rPr>
        <w:t>按采购人要求及最终确认的结算金额</w:t>
      </w:r>
      <w:r>
        <w:rPr>
          <w:rFonts w:hint="eastAsia" w:ascii="宋体" w:hAnsi="宋体" w:eastAsia="宋体" w:cs="宋体"/>
          <w:sz w:val="21"/>
          <w:szCs w:val="21"/>
          <w:highlight w:val="none"/>
          <w:lang w:eastAsia="zh-CN"/>
        </w:rPr>
        <w:t>开具正规的发票交采购人办理支付</w:t>
      </w:r>
      <w:r>
        <w:rPr>
          <w:rFonts w:hint="eastAsia" w:ascii="宋体" w:hAnsi="宋体" w:eastAsia="宋体" w:cs="宋体"/>
          <w:sz w:val="21"/>
          <w:szCs w:val="21"/>
          <w:highlight w:val="none"/>
        </w:rPr>
        <w:t>。</w:t>
      </w:r>
    </w:p>
    <w:p>
      <w:pPr>
        <w:keepNext w:val="0"/>
        <w:keepLines w:val="0"/>
        <w:pageBreakBefore w:val="0"/>
        <w:widowControl/>
        <w:tabs>
          <w:tab w:val="left" w:pos="54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3、所有款项以银行</w:t>
      </w:r>
      <w:r>
        <w:rPr>
          <w:rFonts w:hint="eastAsia" w:ascii="宋体" w:hAnsi="宋体" w:cs="宋体"/>
          <w:szCs w:val="21"/>
          <w:highlight w:val="none"/>
          <w:lang w:val="en-US" w:eastAsia="zh-CN"/>
        </w:rPr>
        <w:t>转账</w:t>
      </w:r>
      <w:r>
        <w:rPr>
          <w:rFonts w:hint="eastAsia" w:ascii="宋体" w:hAnsi="宋体" w:eastAsia="宋体" w:cs="宋体"/>
          <w:szCs w:val="21"/>
          <w:highlight w:val="none"/>
          <w:lang w:val="en-US" w:eastAsia="zh-CN"/>
        </w:rPr>
        <w:t>方式支付。</w:t>
      </w:r>
    </w:p>
    <w:p>
      <w:pPr>
        <w:widowControl/>
        <w:tabs>
          <w:tab w:val="left" w:pos="540"/>
        </w:tabs>
        <w:spacing w:line="360" w:lineRule="auto"/>
        <w:ind w:firstLine="420" w:firstLineChars="200"/>
        <w:jc w:val="left"/>
        <w:rPr>
          <w:rFonts w:hint="eastAsia" w:ascii="宋体" w:hAnsi="宋体" w:eastAsia="宋体" w:cs="宋体"/>
          <w:color w:val="000000"/>
          <w:szCs w:val="21"/>
          <w:lang w:val="zh-CN"/>
        </w:rPr>
      </w:pPr>
      <w:r>
        <w:rPr>
          <w:rFonts w:hint="eastAsia" w:ascii="宋体" w:hAnsi="宋体" w:eastAsia="宋体" w:cs="宋体"/>
          <w:szCs w:val="21"/>
          <w:highlight w:val="none"/>
          <w:lang w:val="en-US" w:eastAsia="zh-CN"/>
        </w:rPr>
        <w:t>4、</w:t>
      </w:r>
      <w:r>
        <w:rPr>
          <w:rFonts w:hint="eastAsia" w:ascii="宋体" w:hAnsi="宋体" w:eastAsia="宋体" w:cs="宋体"/>
          <w:color w:val="auto"/>
          <w:szCs w:val="21"/>
          <w:highlight w:val="none"/>
        </w:rPr>
        <w:t>因</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使用的是财政资金，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在前述规定的付款时间为向政府采购支付部门提出办理财政支付时间申请手续的时间（不含政府财政支付部门审核的时间），</w:t>
      </w:r>
      <w:r>
        <w:rPr>
          <w:rFonts w:hint="eastAsia" w:ascii="宋体" w:hAnsi="宋体" w:eastAsia="宋体" w:cs="宋体"/>
          <w:szCs w:val="21"/>
          <w:highlight w:val="none"/>
          <w:lang w:val="en-US" w:eastAsia="zh-CN"/>
        </w:rPr>
        <w:t>成交</w:t>
      </w:r>
      <w:r>
        <w:rPr>
          <w:rFonts w:hint="eastAsia" w:ascii="宋体" w:hAnsi="宋体" w:eastAsia="宋体" w:cs="宋体"/>
          <w:szCs w:val="21"/>
          <w:highlight w:val="none"/>
          <w:lang w:eastAsia="zh-CN"/>
        </w:rPr>
        <w:t>供应商</w:t>
      </w:r>
      <w:r>
        <w:rPr>
          <w:rFonts w:hint="eastAsia" w:ascii="宋体" w:hAnsi="宋体" w:eastAsia="宋体" w:cs="宋体"/>
          <w:color w:val="auto"/>
          <w:szCs w:val="21"/>
          <w:highlight w:val="none"/>
          <w:lang w:val="en-US" w:eastAsia="zh-CN"/>
        </w:rPr>
        <w:t>确认并同意：采购人</w:t>
      </w:r>
      <w:r>
        <w:rPr>
          <w:rFonts w:hint="eastAsia" w:ascii="宋体" w:hAnsi="宋体" w:eastAsia="宋体" w:cs="宋体"/>
          <w:color w:val="auto"/>
          <w:szCs w:val="21"/>
          <w:highlight w:val="none"/>
        </w:rPr>
        <w:t>在规定时间内提出支付申请手续即视为</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已经按期支付。</w:t>
      </w:r>
    </w:p>
    <w:p>
      <w:pPr>
        <w:widowControl/>
        <w:numPr>
          <w:ilvl w:val="0"/>
          <w:numId w:val="0"/>
        </w:numPr>
        <w:tabs>
          <w:tab w:val="left" w:pos="540"/>
        </w:tabs>
        <w:spacing w:line="360" w:lineRule="auto"/>
        <w:jc w:val="left"/>
        <w:outlineLvl w:val="1"/>
        <w:rPr>
          <w:rFonts w:hint="eastAsia" w:ascii="宋体" w:hAnsi="宋体" w:eastAsia="宋体" w:cs="宋体"/>
          <w:spacing w:val="10"/>
          <w:szCs w:val="21"/>
          <w:lang w:val="en-US" w:eastAsia="zh-CN"/>
        </w:rPr>
      </w:pPr>
      <w:r>
        <w:rPr>
          <w:rFonts w:hint="eastAsia" w:ascii="宋体" w:hAnsi="宋体" w:eastAsia="宋体" w:cs="宋体"/>
          <w:b/>
          <w:bCs/>
          <w:spacing w:val="10"/>
          <w:kern w:val="2"/>
          <w:sz w:val="21"/>
          <w:szCs w:val="21"/>
          <w:lang w:val="en-US" w:eastAsia="zh-CN" w:bidi="ar-SA"/>
        </w:rPr>
        <w:t>五、</w:t>
      </w:r>
      <w:r>
        <w:rPr>
          <w:rFonts w:hint="eastAsia" w:ascii="宋体" w:hAnsi="宋体" w:eastAsia="宋体" w:cs="宋体"/>
          <w:b/>
          <w:bCs/>
          <w:spacing w:val="10"/>
          <w:szCs w:val="21"/>
        </w:rPr>
        <w:t>合同签订</w:t>
      </w:r>
      <w:r>
        <w:rPr>
          <w:rFonts w:hint="eastAsia" w:ascii="宋体" w:hAnsi="宋体" w:eastAsia="宋体" w:cs="宋体"/>
          <w:spacing w:val="10"/>
          <w:szCs w:val="21"/>
          <w:lang w:val="en-US" w:eastAsia="zh-CN"/>
        </w:rPr>
        <w:t xml:space="preserve">  </w:t>
      </w:r>
    </w:p>
    <w:p>
      <w:pPr>
        <w:widowControl/>
        <w:numPr>
          <w:ilvl w:val="0"/>
          <w:numId w:val="0"/>
        </w:numPr>
        <w:tabs>
          <w:tab w:val="left" w:pos="540"/>
        </w:tabs>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pacing w:val="0"/>
          <w:szCs w:val="21"/>
          <w:highlight w:val="none"/>
          <w:lang w:eastAsia="zh-CN"/>
        </w:rPr>
        <w:t>成交供应商</w:t>
      </w:r>
      <w:r>
        <w:rPr>
          <w:rFonts w:hint="eastAsia" w:ascii="宋体" w:hAnsi="宋体" w:eastAsia="宋体" w:cs="宋体"/>
          <w:color w:val="auto"/>
          <w:spacing w:val="0"/>
          <w:szCs w:val="21"/>
          <w:highlight w:val="none"/>
        </w:rPr>
        <w:t>与</w:t>
      </w:r>
      <w:r>
        <w:rPr>
          <w:rFonts w:hint="eastAsia" w:ascii="宋体" w:hAnsi="宋体" w:eastAsia="宋体" w:cs="宋体"/>
          <w:color w:val="auto"/>
          <w:spacing w:val="0"/>
          <w:szCs w:val="21"/>
          <w:highlight w:val="none"/>
          <w:lang w:eastAsia="zh-CN"/>
        </w:rPr>
        <w:t>采购人</w:t>
      </w:r>
      <w:r>
        <w:rPr>
          <w:rFonts w:hint="eastAsia" w:ascii="宋体" w:hAnsi="宋体" w:eastAsia="宋体" w:cs="宋体"/>
          <w:color w:val="auto"/>
          <w:spacing w:val="0"/>
          <w:szCs w:val="21"/>
          <w:highlight w:val="none"/>
        </w:rPr>
        <w:t>根据本项目</w:t>
      </w:r>
      <w:r>
        <w:rPr>
          <w:rFonts w:hint="eastAsia" w:ascii="宋体" w:hAnsi="宋体" w:eastAsia="宋体" w:cs="宋体"/>
          <w:color w:val="auto"/>
          <w:spacing w:val="0"/>
          <w:szCs w:val="21"/>
          <w:highlight w:val="none"/>
          <w:lang w:eastAsia="zh-CN"/>
        </w:rPr>
        <w:t>单一来源采购文件</w:t>
      </w:r>
      <w:r>
        <w:rPr>
          <w:rFonts w:hint="eastAsia" w:ascii="宋体" w:hAnsi="宋体" w:eastAsia="宋体" w:cs="宋体"/>
          <w:color w:val="auto"/>
          <w:spacing w:val="0"/>
          <w:szCs w:val="21"/>
          <w:highlight w:val="none"/>
        </w:rPr>
        <w:t>的规定及</w:t>
      </w:r>
      <w:r>
        <w:rPr>
          <w:rFonts w:hint="eastAsia" w:ascii="宋体" w:hAnsi="宋体" w:eastAsia="宋体" w:cs="宋体"/>
          <w:color w:val="auto"/>
          <w:spacing w:val="0"/>
          <w:szCs w:val="21"/>
          <w:highlight w:val="none"/>
          <w:lang w:eastAsia="zh-CN"/>
        </w:rPr>
        <w:t>成交供应商响应文件</w:t>
      </w:r>
      <w:r>
        <w:rPr>
          <w:rFonts w:hint="eastAsia" w:ascii="宋体" w:hAnsi="宋体" w:eastAsia="宋体" w:cs="宋体"/>
          <w:color w:val="auto"/>
          <w:spacing w:val="0"/>
          <w:szCs w:val="21"/>
          <w:highlight w:val="none"/>
        </w:rPr>
        <w:t>的承诺签订合同。</w:t>
      </w:r>
      <w:r>
        <w:rPr>
          <w:rFonts w:hint="eastAsia" w:ascii="宋体" w:hAnsi="宋体" w:eastAsia="宋体" w:cs="宋体"/>
          <w:color w:val="auto"/>
          <w:spacing w:val="0"/>
          <w:szCs w:val="21"/>
          <w:highlight w:val="none"/>
          <w:lang w:val="en-US" w:eastAsia="zh-CN"/>
        </w:rPr>
        <w:t>服务期限：202</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val="en-US" w:eastAsia="zh-CN"/>
        </w:rPr>
        <w:t>年3月1日至202</w:t>
      </w:r>
      <w:r>
        <w:rPr>
          <w:rFonts w:hint="eastAsia" w:ascii="宋体" w:hAnsi="宋体" w:cs="宋体"/>
          <w:color w:val="auto"/>
          <w:spacing w:val="0"/>
          <w:szCs w:val="21"/>
          <w:highlight w:val="none"/>
          <w:lang w:val="en-US" w:eastAsia="zh-CN"/>
        </w:rPr>
        <w:t>6</w:t>
      </w:r>
      <w:r>
        <w:rPr>
          <w:rFonts w:hint="eastAsia" w:ascii="宋体" w:hAnsi="宋体" w:eastAsia="宋体" w:cs="宋体"/>
          <w:color w:val="auto"/>
          <w:spacing w:val="0"/>
          <w:szCs w:val="21"/>
          <w:highlight w:val="none"/>
          <w:lang w:val="en-US" w:eastAsia="zh-CN"/>
        </w:rPr>
        <w:t>年2月28日</w:t>
      </w:r>
      <w:r>
        <w:rPr>
          <w:rFonts w:hint="eastAsia" w:ascii="宋体" w:hAnsi="宋体" w:eastAsia="宋体" w:cs="宋体"/>
          <w:b w:val="0"/>
          <w:bCs w:val="0"/>
          <w:color w:val="auto"/>
          <w:sz w:val="21"/>
          <w:szCs w:val="21"/>
          <w:highlight w:val="none"/>
          <w:lang w:val="en-US" w:eastAsia="zh-CN"/>
        </w:rPr>
        <w:t>。</w:t>
      </w:r>
    </w:p>
    <w:p>
      <w:pPr>
        <w:numPr>
          <w:ilvl w:val="0"/>
          <w:numId w:val="0"/>
        </w:numPr>
        <w:tabs>
          <w:tab w:val="left" w:pos="420"/>
        </w:tabs>
        <w:spacing w:line="360" w:lineRule="auto"/>
        <w:ind w:leftChars="0"/>
        <w:outlineLvl w:val="1"/>
        <w:rPr>
          <w:rFonts w:hint="eastAsia" w:ascii="宋体" w:hAnsi="宋体" w:eastAsia="宋体" w:cs="宋体"/>
          <w:b w:val="0"/>
          <w:bCs/>
          <w:color w:val="000000"/>
          <w:szCs w:val="21"/>
        </w:rPr>
      </w:pPr>
      <w:r>
        <w:rPr>
          <w:rFonts w:hint="eastAsia" w:ascii="宋体" w:hAnsi="宋体" w:eastAsia="宋体" w:cs="宋体"/>
          <w:b/>
          <w:bCs w:val="0"/>
          <w:color w:val="000000"/>
          <w:szCs w:val="21"/>
          <w:lang w:eastAsia="zh-CN"/>
        </w:rPr>
        <w:t>六</w:t>
      </w:r>
      <w:r>
        <w:rPr>
          <w:rFonts w:hint="eastAsia" w:ascii="宋体" w:hAnsi="宋体" w:eastAsia="宋体" w:cs="宋体"/>
          <w:b/>
          <w:bCs w:val="0"/>
          <w:color w:val="000000"/>
          <w:szCs w:val="21"/>
          <w:lang w:val="en-US" w:eastAsia="zh-CN"/>
        </w:rPr>
        <w:t>、</w:t>
      </w:r>
      <w:r>
        <w:rPr>
          <w:rFonts w:hint="eastAsia" w:ascii="宋体" w:hAnsi="宋体" w:eastAsia="宋体" w:cs="宋体"/>
          <w:b/>
          <w:bCs w:val="0"/>
          <w:color w:val="000000"/>
          <w:szCs w:val="21"/>
        </w:rPr>
        <w:t>资费说明</w:t>
      </w:r>
    </w:p>
    <w:p>
      <w:pPr>
        <w:widowControl/>
        <w:numPr>
          <w:ilvl w:val="0"/>
          <w:numId w:val="0"/>
        </w:numPr>
        <w:tabs>
          <w:tab w:val="left" w:pos="540"/>
        </w:tabs>
        <w:spacing w:line="360" w:lineRule="auto"/>
        <w:jc w:val="left"/>
        <w:rPr>
          <w:rFonts w:hint="default" w:ascii="宋体" w:hAnsi="宋体" w:eastAsia="宋体" w:cs="宋体"/>
          <w:bCs/>
          <w:color w:val="000000"/>
          <w:szCs w:val="21"/>
        </w:rPr>
      </w:pPr>
      <w:r>
        <w:rPr>
          <w:rFonts w:hint="eastAsia" w:ascii="宋体" w:hAnsi="宋体" w:eastAsia="宋体" w:cs="宋体"/>
          <w:bCs/>
          <w:color w:val="000000"/>
          <w:szCs w:val="21"/>
        </w:rPr>
        <w:t>（一）约投挂号</w:t>
      </w:r>
      <w:r>
        <w:rPr>
          <w:rFonts w:hint="eastAsia" w:ascii="宋体" w:hAnsi="宋体" w:eastAsia="宋体" w:cs="宋体"/>
          <w:bCs/>
          <w:color w:val="000000"/>
          <w:szCs w:val="21"/>
          <w:lang w:val="en-US" w:eastAsia="zh-CN"/>
        </w:rPr>
        <w:t>上限单价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369"/>
        <w:gridCol w:w="1492"/>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本</w:t>
            </w:r>
            <w:r>
              <w:rPr>
                <w:rFonts w:hint="eastAsia" w:ascii="宋体" w:hAnsi="宋体" w:eastAsia="宋体" w:cs="宋体"/>
                <w:b/>
                <w:color w:val="000000"/>
                <w:szCs w:val="21"/>
                <w:lang w:eastAsia="zh-CN"/>
              </w:rPr>
              <w:t>市</w:t>
            </w:r>
            <w:r>
              <w:rPr>
                <w:rFonts w:hint="eastAsia" w:ascii="宋体" w:hAnsi="宋体" w:eastAsia="宋体" w:cs="宋体"/>
                <w:b/>
                <w:color w:val="000000"/>
                <w:szCs w:val="21"/>
              </w:rPr>
              <w:t>资费</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外</w:t>
            </w:r>
            <w:r>
              <w:rPr>
                <w:rFonts w:hint="eastAsia" w:ascii="宋体" w:hAnsi="宋体" w:eastAsia="宋体" w:cs="宋体"/>
                <w:b/>
                <w:color w:val="000000"/>
                <w:szCs w:val="21"/>
                <w:lang w:eastAsia="zh-CN"/>
              </w:rPr>
              <w:t>市</w:t>
            </w:r>
            <w:r>
              <w:rPr>
                <w:rFonts w:hint="eastAsia" w:ascii="宋体" w:hAnsi="宋体" w:eastAsia="宋体" w:cs="宋体"/>
                <w:b/>
                <w:color w:val="000000"/>
                <w:szCs w:val="21"/>
              </w:rPr>
              <w:t>资费</w:t>
            </w:r>
          </w:p>
        </w:tc>
        <w:tc>
          <w:tcPr>
            <w:tcW w:w="46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制作费</w:t>
            </w:r>
          </w:p>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（元/件）</w:t>
            </w:r>
          </w:p>
        </w:tc>
        <w:tc>
          <w:tcPr>
            <w:tcW w:w="28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0.40</w:t>
            </w:r>
          </w:p>
        </w:tc>
        <w:tc>
          <w:tcPr>
            <w:tcW w:w="460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6号空白信封、数据处理反馈、打印包装制作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邮资费</w:t>
            </w:r>
          </w:p>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（元/件）</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0.80</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1.20</w:t>
            </w:r>
          </w:p>
        </w:tc>
        <w:tc>
          <w:tcPr>
            <w:tcW w:w="46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挂号费</w:t>
            </w:r>
          </w:p>
        </w:tc>
        <w:tc>
          <w:tcPr>
            <w:tcW w:w="136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3.</w:t>
            </w:r>
            <w:r>
              <w:rPr>
                <w:rFonts w:hint="eastAsia" w:ascii="宋体" w:hAnsi="宋体" w:eastAsia="宋体" w:cs="宋体"/>
                <w:color w:val="000000"/>
                <w:szCs w:val="21"/>
              </w:rPr>
              <w:t>0</w:t>
            </w:r>
            <w:r>
              <w:rPr>
                <w:rFonts w:hint="eastAsia" w:ascii="宋体" w:hAnsi="宋体" w:eastAsia="宋体" w:cs="宋体"/>
                <w:color w:val="000000"/>
                <w:szCs w:val="21"/>
                <w:lang w:val="zh-CN"/>
              </w:rPr>
              <w:t>0</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460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挂号服务可供客户查询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约投服务费</w:t>
            </w:r>
          </w:p>
        </w:tc>
        <w:tc>
          <w:tcPr>
            <w:tcW w:w="136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Cs w:val="21"/>
                <w:lang w:val="zh-CN"/>
              </w:rPr>
            </w:pPr>
            <w:r>
              <w:rPr>
                <w:rFonts w:hint="eastAsia" w:ascii="宋体" w:hAnsi="宋体" w:eastAsia="宋体" w:cs="宋体"/>
                <w:color w:val="000000"/>
                <w:szCs w:val="21"/>
              </w:rPr>
              <w:t>2.00</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rPr>
              <w:t>2.00</w:t>
            </w:r>
          </w:p>
        </w:tc>
        <w:tc>
          <w:tcPr>
            <w:tcW w:w="460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对投递终端要求提供寄递到户的服务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总计</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6.20</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6.60</w:t>
            </w:r>
          </w:p>
        </w:tc>
        <w:tc>
          <w:tcPr>
            <w:tcW w:w="46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rPr>
              <w:t>/</w:t>
            </w:r>
          </w:p>
        </w:tc>
      </w:tr>
    </w:tbl>
    <w:p>
      <w:pPr>
        <w:rPr>
          <w:rFonts w:hint="eastAsia" w:ascii="宋体" w:hAnsi="宋体" w:eastAsia="宋体" w:cs="宋体"/>
          <w:bCs/>
          <w:color w:val="000000"/>
          <w:szCs w:val="21"/>
        </w:rPr>
      </w:pPr>
    </w:p>
    <w:p>
      <w:pPr>
        <w:numPr>
          <w:ilvl w:val="0"/>
          <w:numId w:val="0"/>
        </w:numPr>
        <w:tabs>
          <w:tab w:val="left" w:pos="1260"/>
        </w:tabs>
        <w:ind w:left="0" w:firstLine="0"/>
        <w:rPr>
          <w:rFonts w:hint="eastAsia" w:ascii="宋体" w:hAnsi="宋体" w:eastAsia="宋体" w:cs="宋体"/>
          <w:bCs/>
          <w:color w:val="000000"/>
          <w:sz w:val="21"/>
          <w:szCs w:val="21"/>
          <w:lang w:eastAsia="zh-CN"/>
        </w:rPr>
      </w:pPr>
    </w:p>
    <w:p>
      <w:pPr>
        <w:numPr>
          <w:ilvl w:val="0"/>
          <w:numId w:val="0"/>
        </w:numPr>
        <w:tabs>
          <w:tab w:val="left" w:pos="1260"/>
        </w:tabs>
        <w:ind w:left="0" w:firstLine="0"/>
        <w:rPr>
          <w:rFonts w:hint="eastAsia" w:ascii="宋体" w:hAnsi="宋体" w:eastAsia="宋体" w:cs="宋体"/>
          <w:bCs/>
          <w:color w:val="000000"/>
          <w:sz w:val="21"/>
          <w:szCs w:val="21"/>
          <w:lang w:eastAsia="zh-CN"/>
        </w:rPr>
      </w:pPr>
    </w:p>
    <w:p>
      <w:pPr>
        <w:numPr>
          <w:ilvl w:val="0"/>
          <w:numId w:val="0"/>
        </w:numPr>
        <w:tabs>
          <w:tab w:val="left" w:pos="1260"/>
        </w:tabs>
        <w:ind w:left="0" w:firstLine="0"/>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（二）</w:t>
      </w:r>
      <w:r>
        <w:rPr>
          <w:rFonts w:hint="eastAsia" w:ascii="宋体" w:hAnsi="宋体" w:eastAsia="宋体" w:cs="宋体"/>
          <w:bCs/>
          <w:color w:val="000000"/>
          <w:sz w:val="21"/>
          <w:szCs w:val="21"/>
        </w:rPr>
        <w:t>普通挂号</w:t>
      </w:r>
      <w:r>
        <w:rPr>
          <w:rFonts w:hint="eastAsia" w:ascii="宋体" w:hAnsi="宋体" w:eastAsia="宋体" w:cs="宋体"/>
          <w:bCs/>
          <w:color w:val="000000"/>
          <w:szCs w:val="21"/>
          <w:lang w:val="en-US" w:eastAsia="zh-CN"/>
        </w:rPr>
        <w:t>上限单价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385"/>
        <w:gridCol w:w="1520"/>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本</w:t>
            </w:r>
            <w:r>
              <w:rPr>
                <w:rFonts w:hint="eastAsia" w:ascii="宋体" w:hAnsi="宋体" w:eastAsia="宋体" w:cs="宋体"/>
                <w:b/>
                <w:color w:val="000000"/>
                <w:szCs w:val="21"/>
                <w:lang w:eastAsia="zh-CN"/>
              </w:rPr>
              <w:t>市</w:t>
            </w:r>
            <w:r>
              <w:rPr>
                <w:rFonts w:hint="eastAsia" w:ascii="宋体" w:hAnsi="宋体" w:eastAsia="宋体" w:cs="宋体"/>
                <w:b/>
                <w:color w:val="000000"/>
                <w:szCs w:val="21"/>
              </w:rPr>
              <w:t>资费</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外</w:t>
            </w:r>
            <w:r>
              <w:rPr>
                <w:rFonts w:hint="eastAsia" w:ascii="宋体" w:hAnsi="宋体" w:eastAsia="宋体" w:cs="宋体"/>
                <w:b/>
                <w:color w:val="000000"/>
                <w:szCs w:val="21"/>
                <w:lang w:eastAsia="zh-CN"/>
              </w:rPr>
              <w:t>市</w:t>
            </w:r>
            <w:r>
              <w:rPr>
                <w:rFonts w:hint="eastAsia" w:ascii="宋体" w:hAnsi="宋体" w:eastAsia="宋体" w:cs="宋体"/>
                <w:b/>
                <w:color w:val="000000"/>
                <w:szCs w:val="21"/>
              </w:rPr>
              <w:t>资费</w:t>
            </w:r>
          </w:p>
        </w:tc>
        <w:tc>
          <w:tcPr>
            <w:tcW w:w="4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制作费</w:t>
            </w:r>
          </w:p>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（元/件）</w:t>
            </w:r>
          </w:p>
        </w:tc>
        <w:tc>
          <w:tcPr>
            <w:tcW w:w="2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0.40</w:t>
            </w:r>
          </w:p>
        </w:tc>
        <w:tc>
          <w:tcPr>
            <w:tcW w:w="468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6号空白信封、数据处理反馈、打印包装制作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邮资费</w:t>
            </w:r>
          </w:p>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（元/件）</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0.80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1.20</w:t>
            </w:r>
          </w:p>
        </w:tc>
        <w:tc>
          <w:tcPr>
            <w:tcW w:w="46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挂号费</w:t>
            </w:r>
          </w:p>
        </w:tc>
        <w:tc>
          <w:tcPr>
            <w:tcW w:w="13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3.</w:t>
            </w:r>
            <w:r>
              <w:rPr>
                <w:rFonts w:hint="eastAsia" w:ascii="宋体" w:hAnsi="宋体" w:eastAsia="宋体" w:cs="宋体"/>
                <w:color w:val="000000"/>
                <w:szCs w:val="21"/>
              </w:rPr>
              <w:t>0</w:t>
            </w:r>
            <w:r>
              <w:rPr>
                <w:rFonts w:hint="eastAsia" w:ascii="宋体" w:hAnsi="宋体" w:eastAsia="宋体" w:cs="宋体"/>
                <w:color w:val="000000"/>
                <w:szCs w:val="21"/>
                <w:lang w:val="zh-CN"/>
              </w:rPr>
              <w:t>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4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挂号服务可供客户查询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总计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4.20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4.6</w:t>
            </w:r>
          </w:p>
        </w:tc>
        <w:tc>
          <w:tcPr>
            <w:tcW w:w="4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w:t>
            </w:r>
          </w:p>
        </w:tc>
      </w:tr>
    </w:tbl>
    <w:p>
      <w:pPr>
        <w:keepNext w:val="0"/>
        <w:keepLines w:val="0"/>
        <w:widowControl w:val="0"/>
        <w:numPr>
          <w:ilvl w:val="0"/>
          <w:numId w:val="0"/>
        </w:numPr>
        <w:suppressLineNumbers w:val="0"/>
        <w:spacing w:before="0" w:beforeAutospacing="0" w:after="0" w:afterAutospacing="0"/>
        <w:ind w:left="-420" w:right="0" w:firstLine="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 xml:space="preserve"> </w:t>
      </w:r>
    </w:p>
    <w:p>
      <w:pPr>
        <w:keepNext w:val="0"/>
        <w:keepLines w:val="0"/>
        <w:widowControl/>
        <w:numPr>
          <w:ilvl w:val="0"/>
          <w:numId w:val="0"/>
        </w:numPr>
        <w:suppressLineNumbers w:val="0"/>
        <w:tabs>
          <w:tab w:val="left" w:pos="1260"/>
        </w:tabs>
        <w:spacing w:before="0" w:beforeAutospacing="0" w:after="0" w:afterAutospacing="0"/>
        <w:ind w:left="0" w:right="0" w:firstLine="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（三）标准快递</w:t>
      </w:r>
      <w:r>
        <w:rPr>
          <w:rFonts w:hint="eastAsia" w:ascii="宋体" w:hAnsi="宋体" w:eastAsia="宋体" w:cs="宋体"/>
          <w:bCs/>
          <w:color w:val="000000"/>
          <w:szCs w:val="21"/>
          <w:lang w:val="en-US" w:eastAsia="zh-CN"/>
        </w:rPr>
        <w:t>上限单价</w:t>
      </w:r>
    </w:p>
    <w:tbl>
      <w:tblPr>
        <w:tblStyle w:val="6"/>
        <w:tblW w:w="9240" w:type="dxa"/>
        <w:tblInd w:w="-111" w:type="dxa"/>
        <w:tblLayout w:type="fixed"/>
        <w:tblCellMar>
          <w:top w:w="0" w:type="dxa"/>
          <w:left w:w="0" w:type="dxa"/>
          <w:bottom w:w="0" w:type="dxa"/>
          <w:right w:w="0" w:type="dxa"/>
        </w:tblCellMar>
      </w:tblPr>
      <w:tblGrid>
        <w:gridCol w:w="4701"/>
        <w:gridCol w:w="2269"/>
        <w:gridCol w:w="2270"/>
      </w:tblGrid>
      <w:tr>
        <w:tblPrEx>
          <w:tblCellMar>
            <w:top w:w="0" w:type="dxa"/>
            <w:left w:w="0" w:type="dxa"/>
            <w:bottom w:w="0" w:type="dxa"/>
            <w:right w:w="0" w:type="dxa"/>
          </w:tblCellMar>
        </w:tblPrEx>
        <w:trPr>
          <w:trHeight w:val="528" w:hRule="atLeast"/>
        </w:trPr>
        <w:tc>
          <w:tcPr>
            <w:tcW w:w="9240"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国内标准快递资费表</w:t>
            </w:r>
          </w:p>
        </w:tc>
      </w:tr>
      <w:tr>
        <w:tblPrEx>
          <w:tblCellMar>
            <w:top w:w="0" w:type="dxa"/>
            <w:left w:w="0" w:type="dxa"/>
            <w:bottom w:w="0" w:type="dxa"/>
            <w:right w:w="0" w:type="dxa"/>
          </w:tblCellMar>
        </w:tblPrEx>
        <w:trPr>
          <w:trHeight w:val="475" w:hRule="atLeast"/>
        </w:trPr>
        <w:tc>
          <w:tcPr>
            <w:tcW w:w="47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寄达范围</w:t>
            </w:r>
          </w:p>
        </w:tc>
        <w:tc>
          <w:tcPr>
            <w:tcW w:w="22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首 重（元）</w:t>
            </w:r>
          </w:p>
        </w:tc>
        <w:tc>
          <w:tcPr>
            <w:tcW w:w="22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续 重（元）</w:t>
            </w:r>
          </w:p>
        </w:tc>
      </w:tr>
      <w:tr>
        <w:tblPrEx>
          <w:tblCellMar>
            <w:top w:w="0" w:type="dxa"/>
            <w:left w:w="0" w:type="dxa"/>
            <w:bottom w:w="0" w:type="dxa"/>
            <w:right w:w="0" w:type="dxa"/>
          </w:tblCellMar>
        </w:tblPrEx>
        <w:trPr>
          <w:trHeight w:val="475" w:hRule="atLeast"/>
        </w:trPr>
        <w:tc>
          <w:tcPr>
            <w:tcW w:w="4701"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b/>
                <w:i w:val="0"/>
                <w:color w:val="000000"/>
                <w:sz w:val="21"/>
                <w:szCs w:val="21"/>
                <w:u w:val="none"/>
              </w:rPr>
            </w:pPr>
          </w:p>
        </w:tc>
        <w:tc>
          <w:tcPr>
            <w:tcW w:w="2269" w:type="dxa"/>
            <w:tcBorders>
              <w:top w:val="single" w:color="auto"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起重500克</w:t>
            </w:r>
          </w:p>
        </w:tc>
        <w:tc>
          <w:tcPr>
            <w:tcW w:w="2270"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续重500克或其零数</w:t>
            </w:r>
          </w:p>
        </w:tc>
      </w:tr>
      <w:tr>
        <w:tblPrEx>
          <w:tblCellMar>
            <w:top w:w="0" w:type="dxa"/>
            <w:left w:w="0" w:type="dxa"/>
            <w:bottom w:w="0" w:type="dxa"/>
            <w:right w:w="0" w:type="dxa"/>
          </w:tblCellMar>
        </w:tblPrEx>
        <w:trPr>
          <w:trHeight w:val="525"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中山同城</w:t>
            </w:r>
          </w:p>
        </w:tc>
        <w:tc>
          <w:tcPr>
            <w:tcW w:w="226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525"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寄达省</w:t>
            </w:r>
          </w:p>
        </w:tc>
        <w:tc>
          <w:tcPr>
            <w:tcW w:w="226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起重1000克</w:t>
            </w:r>
          </w:p>
        </w:tc>
        <w:tc>
          <w:tcPr>
            <w:tcW w:w="22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续重500克或其零数</w:t>
            </w:r>
          </w:p>
        </w:tc>
      </w:tr>
      <w:tr>
        <w:tblPrEx>
          <w:tblCellMar>
            <w:top w:w="0" w:type="dxa"/>
            <w:left w:w="0" w:type="dxa"/>
            <w:bottom w:w="0" w:type="dxa"/>
            <w:right w:w="0" w:type="dxa"/>
          </w:tblCellMar>
        </w:tblPrEx>
        <w:trPr>
          <w:trHeight w:val="525"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一区：广东省内</w:t>
            </w:r>
          </w:p>
        </w:tc>
        <w:tc>
          <w:tcPr>
            <w:tcW w:w="226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2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525"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四区：广西</w:t>
            </w:r>
          </w:p>
        </w:tc>
        <w:tc>
          <w:tcPr>
            <w:tcW w:w="22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27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525"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五区：福建</w:t>
            </w:r>
          </w:p>
        </w:tc>
        <w:tc>
          <w:tcPr>
            <w:tcW w:w="22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27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525"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六区：湖南、海南</w:t>
            </w:r>
          </w:p>
        </w:tc>
        <w:tc>
          <w:tcPr>
            <w:tcW w:w="22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27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525"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七区：上海、江苏、浙江、安徽</w:t>
            </w:r>
          </w:p>
        </w:tc>
        <w:tc>
          <w:tcPr>
            <w:tcW w:w="22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27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804"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八区：北京、天津、河北，山西、江西、河南、湖北、重庆、四川、贵州、云南、陕西</w:t>
            </w:r>
          </w:p>
        </w:tc>
        <w:tc>
          <w:tcPr>
            <w:tcW w:w="22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2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525" w:hRule="atLeast"/>
        </w:trPr>
        <w:tc>
          <w:tcPr>
            <w:tcW w:w="470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九区：辽宁、山东</w:t>
            </w:r>
          </w:p>
        </w:tc>
        <w:tc>
          <w:tcPr>
            <w:tcW w:w="226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2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525" w:hRule="atLeast"/>
        </w:trPr>
        <w:tc>
          <w:tcPr>
            <w:tcW w:w="47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十区：内蒙古、甘肃、青海、宁夏</w:t>
            </w:r>
          </w:p>
        </w:tc>
        <w:tc>
          <w:tcPr>
            <w:tcW w:w="22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270" w:type="dxa"/>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525" w:hRule="atLeast"/>
        </w:trPr>
        <w:tc>
          <w:tcPr>
            <w:tcW w:w="4701"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十一区：吉林、黑龙江</w:t>
            </w:r>
          </w:p>
        </w:tc>
        <w:tc>
          <w:tcPr>
            <w:tcW w:w="22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2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538" w:hRule="atLeast"/>
        </w:trPr>
        <w:tc>
          <w:tcPr>
            <w:tcW w:w="47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十七区：西藏、新疆</w:t>
            </w:r>
          </w:p>
        </w:tc>
        <w:tc>
          <w:tcPr>
            <w:tcW w:w="226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270"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r>
    </w:tbl>
    <w:p>
      <w:pPr>
        <w:pStyle w:val="4"/>
        <w:numPr>
          <w:ilvl w:val="0"/>
          <w:numId w:val="0"/>
        </w:numPr>
        <w:tabs>
          <w:tab w:val="left" w:pos="0"/>
        </w:tabs>
        <w:ind w:firstLine="420"/>
        <w:jc w:val="left"/>
        <w:rPr>
          <w:rFonts w:hint="eastAsia" w:ascii="宋体" w:hAnsi="宋体"/>
          <w:b/>
          <w:color w:val="auto"/>
          <w:szCs w:val="22"/>
          <w:highlight w:val="none"/>
        </w:rPr>
      </w:pPr>
    </w:p>
    <w:p>
      <w:pPr>
        <w:spacing w:line="360" w:lineRule="auto"/>
        <w:outlineLvl w:val="1"/>
        <w:rPr>
          <w:rFonts w:hint="eastAsia" w:ascii="黑体" w:hAnsi="黑体" w:eastAsia="黑体" w:cs="黑体"/>
          <w:b/>
          <w:color w:val="auto"/>
          <w:szCs w:val="21"/>
          <w:highlight w:val="none"/>
        </w:rPr>
      </w:pPr>
      <w:r>
        <w:rPr>
          <w:rFonts w:hint="eastAsia" w:ascii="宋体" w:hAnsi="宋体"/>
          <w:b/>
          <w:color w:val="auto"/>
          <w:szCs w:val="22"/>
          <w:highlight w:val="none"/>
          <w:lang w:val="en-US" w:eastAsia="zh-CN"/>
        </w:rPr>
        <w:t>七</w:t>
      </w:r>
      <w:r>
        <w:rPr>
          <w:rFonts w:hint="eastAsia" w:ascii="宋体" w:hAnsi="宋体"/>
          <w:b/>
          <w:color w:val="auto"/>
          <w:szCs w:val="22"/>
          <w:highlight w:val="none"/>
        </w:rPr>
        <w:t>、采购人配合内容</w:t>
      </w:r>
    </w:p>
    <w:p>
      <w:r>
        <w:rPr>
          <w:rFonts w:hint="eastAsia" w:ascii="宋体" w:hAnsi="宋体" w:eastAsia="宋体" w:cs="宋体"/>
          <w:color w:val="auto"/>
          <w:szCs w:val="21"/>
          <w:highlight w:val="none"/>
        </w:rPr>
        <w:t>供应商在响应文件中可列明在项目实施过程中要求采购人提供的配合条件，所列配合条件采购人将尽量配合解决，但不代表采购人全部接受，采购人有权全部或部分拒绝供应商提出的配合条件。</w:t>
      </w:r>
      <w:bookmarkEnd w:id="0"/>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33"/>
        </w:tabs>
        <w:ind w:left="833" w:hanging="360"/>
      </w:pPr>
      <w:rPr>
        <w:rFonts w:hint="eastAsia" w:ascii="宋体" w:hAnsi="宋体" w:eastAsia="宋体" w:cs="仿宋_GB2312"/>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C7C96"/>
    <w:rsid w:val="201E5208"/>
    <w:rsid w:val="3B7C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before="340" w:after="330" w:line="576" w:lineRule="auto"/>
      <w:jc w:val="left"/>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Body Text First Indent"/>
    <w:basedOn w:val="1"/>
    <w:unhideWhenUsed/>
    <w:qFormat/>
    <w:uiPriority w:val="99"/>
    <w:pPr>
      <w:widowControl w:val="0"/>
      <w:spacing w:after="0" w:line="360" w:lineRule="auto"/>
      <w:ind w:firstLine="425"/>
      <w:jc w:val="both"/>
    </w:pPr>
    <w:rPr>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中山市社会保险基金管理局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2025-02-10T09:09:00Z</dcterms:created>
  <dc:creator>周菊心</dc:creator>
  <cp:lastModifiedBy>Administrator</cp:lastModifiedBy>
  <dcterms:modified xsi:type="dcterms:W3CDTF">2025-02-25T02:21:31Z</dcterms:modified>
  <dc:title>用户需求书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B31A00B3D48D499C958ABAAD1FF41868</vt:lpwstr>
  </property>
</Properties>
</file>