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topLinePunct w:val="0"/>
        <w:bidi w:val="0"/>
        <w:spacing w:line="600" w:lineRule="exact"/>
        <w:rPr>
          <w:rFonts w:hint="eastAsia" w:ascii="黑体" w:hAnsi="黑体" w:eastAsia="黑体" w:cs="黑体"/>
          <w:color w:val="auto"/>
          <w:sz w:val="32"/>
          <w:szCs w:val="32"/>
          <w:lang w:val="en-US"/>
        </w:rPr>
      </w:pPr>
      <w:r>
        <w:rPr>
          <w:rFonts w:hint="eastAsia" w:ascii="黑体" w:hAnsi="黑体" w:eastAsia="黑体" w:cs="黑体"/>
          <w:snapToGrid w:val="0"/>
          <w:color w:val="auto"/>
          <w:spacing w:val="6"/>
          <w:kern w:val="32"/>
          <w:sz w:val="32"/>
          <w:szCs w:val="32"/>
          <w:lang w:val="en-US" w:eastAsia="zh-CN" w:bidi="ar-SA"/>
        </w:rPr>
        <w:t>附件1</w:t>
      </w:r>
    </w:p>
    <w:p>
      <w:pPr>
        <w:keepNext w:val="0"/>
        <w:keepLines w:val="0"/>
        <w:pageBreakBefore w:val="0"/>
        <w:widowControl w:val="0"/>
        <w:numPr>
          <w:ilvl w:val="0"/>
          <w:numId w:val="0"/>
        </w:numPr>
        <w:kinsoku/>
        <w:wordWrap/>
        <w:topLinePunct w:val="0"/>
        <w:bidi w:val="0"/>
        <w:spacing w:after="0" w:afterLines="0" w:afterAutospacing="0" w:line="574" w:lineRule="exact"/>
        <w:ind w:left="0" w:leftChars="0" w:right="0" w:rightChars="0"/>
        <w:jc w:val="both"/>
        <w:textAlignment w:val="auto"/>
        <w:outlineLvl w:val="9"/>
        <w:rPr>
          <w:rFonts w:hint="eastAsia" w:ascii="黑体" w:hAnsi="黑体" w:eastAsia="黑体" w:cs="黑体"/>
          <w:snapToGrid w:val="0"/>
          <w:color w:val="auto"/>
          <w:spacing w:val="6"/>
          <w:kern w:val="32"/>
          <w:sz w:val="32"/>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bidi="ar-SA"/>
        </w:rPr>
      </w:pPr>
      <w:r>
        <w:rPr>
          <w:rFonts w:hint="eastAsia" w:ascii="方正小标宋_GBK" w:hAnsi="方正小标宋_GBK" w:eastAsia="方正小标宋_GBK" w:cs="方正小标宋_GBK"/>
          <w:color w:val="auto"/>
          <w:sz w:val="44"/>
          <w:szCs w:val="44"/>
          <w:lang w:val="en-US" w:eastAsia="zh-CN" w:bidi="ar-SA"/>
        </w:rPr>
        <w:t>中山市人力资源和社会保障局</w:t>
      </w:r>
    </w:p>
    <w:p>
      <w:pPr>
        <w:keepNext w:val="0"/>
        <w:keepLines w:val="0"/>
        <w:pageBreakBefore w:val="0"/>
        <w:widowControl w:val="0"/>
        <w:kinsoku/>
        <w:wordWrap/>
        <w:overflowPunct/>
        <w:topLinePunct w:val="0"/>
        <w:autoSpaceDE/>
        <w:autoSpaceDN/>
        <w:bidi w:val="0"/>
        <w:adjustRightInd/>
        <w:snapToGrid/>
        <w:spacing w:line="57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bidi="ar-SA"/>
        </w:rPr>
      </w:pPr>
      <w:r>
        <w:rPr>
          <w:rFonts w:hint="eastAsia" w:ascii="方正小标宋_GBK" w:hAnsi="方正小标宋_GBK" w:eastAsia="方正小标宋_GBK" w:cs="方正小标宋_GBK"/>
          <w:color w:val="auto"/>
          <w:sz w:val="44"/>
          <w:szCs w:val="44"/>
          <w:lang w:val="en-US" w:eastAsia="zh-CN" w:bidi="ar-SA"/>
        </w:rPr>
        <w:t>2024年行政许可实施和监督管理情况报告</w:t>
      </w:r>
    </w:p>
    <w:p>
      <w:pPr>
        <w:keepNext w:val="0"/>
        <w:keepLines w:val="0"/>
        <w:pageBreakBefore w:val="0"/>
        <w:widowControl w:val="0"/>
        <w:kinsoku/>
        <w:topLinePunct w:val="0"/>
        <w:bidi w:val="0"/>
        <w:spacing w:after="0" w:afterLines="0" w:afterAutospacing="0" w:line="574" w:lineRule="exact"/>
        <w:ind w:left="0" w:leftChars="0" w:right="0" w:rightChars="0"/>
        <w:jc w:val="both"/>
        <w:textAlignment w:val="auto"/>
        <w:rPr>
          <w:rFonts w:hint="eastAsia" w:ascii="Calibri" w:hAnsi="Calibri" w:eastAsia="宋体" w:cs="Times New Roman"/>
          <w:color w:val="auto"/>
          <w:kern w:val="2"/>
          <w:sz w:val="21"/>
          <w:szCs w:val="24"/>
          <w:lang w:val="en-US" w:eastAsia="zh-CN" w:bidi="ar-SA"/>
        </w:rPr>
      </w:pPr>
    </w:p>
    <w:p>
      <w:pPr>
        <w:pStyle w:val="2"/>
        <w:rPr>
          <w:rFonts w:hint="eastAsia"/>
          <w:color w:val="auto"/>
          <w:lang w:val="en-US" w:eastAsia="zh-CN"/>
        </w:rPr>
      </w:pPr>
    </w:p>
    <w:p>
      <w:pPr>
        <w:keepNext w:val="0"/>
        <w:keepLines w:val="0"/>
        <w:pageBreakBefore w:val="0"/>
        <w:widowControl w:val="0"/>
        <w:kinsoku/>
        <w:overflowPunct w:val="0"/>
        <w:topLinePunct w:val="0"/>
        <w:autoSpaceDE w:val="0"/>
        <w:autoSpaceDN w:val="0"/>
        <w:bidi w:val="0"/>
        <w:adjustRightInd w:val="0"/>
        <w:snapToGrid w:val="0"/>
        <w:spacing w:line="574" w:lineRule="exact"/>
        <w:ind w:left="0" w:leftChars="0" w:right="0" w:rightChars="0"/>
        <w:textAlignment w:val="auto"/>
        <w:rPr>
          <w:rFonts w:hint="eastAsia" w:ascii="仿宋_GB2312" w:hAnsi="仿宋_GB2312" w:eastAsia="仿宋_GB2312" w:cs="仿宋_GB2312"/>
          <w:snapToGrid w:val="0"/>
          <w:color w:val="auto"/>
          <w:spacing w:val="6"/>
          <w:kern w:val="32"/>
          <w:sz w:val="32"/>
          <w:lang w:val="en-US" w:eastAsia="zh-CN" w:bidi="ar-SA"/>
        </w:rPr>
      </w:pPr>
      <w:r>
        <w:rPr>
          <w:rFonts w:hint="eastAsia" w:ascii="仿宋_GB2312" w:hAnsi="仿宋_GB2312" w:eastAsia="仿宋_GB2312" w:cs="仿宋_GB2312"/>
          <w:snapToGrid w:val="0"/>
          <w:color w:val="auto"/>
          <w:spacing w:val="6"/>
          <w:kern w:val="32"/>
          <w:sz w:val="32"/>
          <w:lang w:val="en-US" w:eastAsia="zh-CN" w:bidi="ar-SA"/>
        </w:rPr>
        <w:t>市政府：</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根据《关于开展行政许可实施和监督管理情况年度报告工作的通知》要求，现将我局2024年行政许可实施和监督管理情况报告如下：</w:t>
      </w:r>
    </w:p>
    <w:p>
      <w:pPr>
        <w:keepNext w:val="0"/>
        <w:keepLines w:val="0"/>
        <w:pageBreakBefore w:val="0"/>
        <w:widowControl w:val="0"/>
        <w:kinsoku/>
        <w:topLinePunct w:val="0"/>
        <w:bidi w:val="0"/>
        <w:spacing w:after="0" w:afterLines="0" w:afterAutospacing="0" w:line="574" w:lineRule="exact"/>
        <w:ind w:left="0" w:leftChars="0" w:right="0" w:rightChars="0" w:firstLine="688"/>
        <w:jc w:val="both"/>
        <w:textAlignment w:val="auto"/>
        <w:rPr>
          <w:rFonts w:hint="eastAsia" w:ascii="黑体" w:hAnsi="黑体" w:eastAsia="黑体" w:cs="黑体"/>
          <w:snapToGrid w:val="0"/>
          <w:color w:val="auto"/>
          <w:spacing w:val="6"/>
          <w:kern w:val="32"/>
          <w:sz w:val="32"/>
          <w:szCs w:val="24"/>
          <w:lang w:val="en-US" w:eastAsia="zh-CN" w:bidi="ar-SA"/>
        </w:rPr>
      </w:pPr>
      <w:r>
        <w:rPr>
          <w:rFonts w:hint="eastAsia" w:ascii="黑体" w:hAnsi="黑体" w:eastAsia="黑体" w:cs="黑体"/>
          <w:snapToGrid w:val="0"/>
          <w:color w:val="auto"/>
          <w:spacing w:val="6"/>
          <w:kern w:val="32"/>
          <w:sz w:val="32"/>
          <w:szCs w:val="24"/>
          <w:lang w:val="en-US" w:eastAsia="zh-CN" w:bidi="ar-SA"/>
        </w:rPr>
        <w:t>一、基本情况</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一）现有事项及办理情况。我局现有行政许可事项共5项，分别为劳务派遣经营许可、企业实行不定时工作制和综合计算工时工作制审批、人力资源服务机构设立许可、民办职业培训学校设立审批及技工学校、技师学院办学许可，全部行政许可事项均已纳入“广东省政务服务事项目录管理系统”、均已进驻广东省政务服务网，除技工学校、技师学院办学许可涉技工学校的在市政务服务中心人社局窗口办理外（涉技师学院的由省人社厅负责），其它均委托镇区实施。我局2024年行政许可审批共受理707宗，办结707宗，所有许可事项均按期完成，无取消、转移的行政审批事项。</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（二）依法实施情况。我局行政许可审批事项根据《中山市政府部门权责清单》规定的权限范围进行受理审批，统一全市同一事项申请条件、申请材料、办理流程等，并通过省政务服务网对外公开。同时，我局</w:t>
      </w:r>
      <w:r>
        <w:rPr>
          <w:rFonts w:hint="default" w:ascii="仿宋_GB2312" w:hAnsi="仿宋_GB2312" w:eastAsia="仿宋_GB2312" w:cs="仿宋_GB2312"/>
          <w:snapToGrid w:val="0"/>
          <w:color w:val="auto"/>
          <w:spacing w:val="6"/>
          <w:kern w:val="32"/>
          <w:sz w:val="32"/>
          <w:szCs w:val="32"/>
          <w:lang w:val="en-US" w:eastAsia="zh-CN" w:bidi="ar-SA"/>
        </w:rPr>
        <w:t>深化“放管服”改革，</w:t>
      </w:r>
      <w:r>
        <w:rPr>
          <w:rFonts w:hint="eastAsia" w:ascii="仿宋_GB2312" w:hAnsi="仿宋_GB2312" w:eastAsia="仿宋_GB2312" w:cs="仿宋_GB2312"/>
          <w:snapToGrid w:val="0"/>
          <w:color w:val="auto"/>
          <w:spacing w:val="6"/>
          <w:kern w:val="32"/>
          <w:sz w:val="32"/>
          <w:szCs w:val="32"/>
          <w:lang w:val="en-US" w:eastAsia="zh-CN" w:bidi="ar-SA"/>
        </w:rPr>
        <w:t>不断推进</w:t>
      </w:r>
      <w:r>
        <w:rPr>
          <w:rFonts w:hint="default" w:ascii="仿宋_GB2312" w:hAnsi="仿宋_GB2312" w:eastAsia="仿宋_GB2312" w:cs="仿宋_GB2312"/>
          <w:snapToGrid w:val="0"/>
          <w:color w:val="auto"/>
          <w:spacing w:val="6"/>
          <w:kern w:val="32"/>
          <w:sz w:val="32"/>
          <w:szCs w:val="32"/>
          <w:lang w:val="en-US" w:eastAsia="zh-CN" w:bidi="ar-SA"/>
        </w:rPr>
        <w:t>审批程序简化</w:t>
      </w:r>
      <w:r>
        <w:rPr>
          <w:rFonts w:hint="eastAsia" w:ascii="仿宋_GB2312" w:hAnsi="仿宋_GB2312" w:eastAsia="仿宋_GB2312" w:cs="仿宋_GB2312"/>
          <w:snapToGrid w:val="0"/>
          <w:color w:val="auto"/>
          <w:spacing w:val="6"/>
          <w:kern w:val="32"/>
          <w:sz w:val="32"/>
          <w:szCs w:val="32"/>
          <w:lang w:val="en-US" w:eastAsia="zh-CN" w:bidi="ar-SA"/>
        </w:rPr>
        <w:t>、</w:t>
      </w:r>
      <w:r>
        <w:rPr>
          <w:rFonts w:hint="default" w:ascii="仿宋_GB2312" w:hAnsi="仿宋_GB2312" w:eastAsia="仿宋_GB2312" w:cs="仿宋_GB2312"/>
          <w:snapToGrid w:val="0"/>
          <w:color w:val="auto"/>
          <w:spacing w:val="6"/>
          <w:kern w:val="32"/>
          <w:sz w:val="32"/>
          <w:szCs w:val="32"/>
          <w:lang w:val="en-US" w:eastAsia="zh-CN" w:bidi="ar-SA"/>
        </w:rPr>
        <w:t>办理时限压缩，明确审批标准，</w:t>
      </w:r>
      <w:r>
        <w:rPr>
          <w:rFonts w:hint="eastAsia" w:ascii="仿宋_GB2312" w:hAnsi="仿宋_GB2312" w:eastAsia="仿宋_GB2312" w:cs="仿宋_GB2312"/>
          <w:snapToGrid w:val="0"/>
          <w:color w:val="auto"/>
          <w:spacing w:val="6"/>
          <w:kern w:val="32"/>
          <w:sz w:val="32"/>
          <w:szCs w:val="32"/>
          <w:lang w:val="en-US" w:eastAsia="zh-CN" w:bidi="ar-SA"/>
        </w:rPr>
        <w:t>并就委托镇街实施事项对镇街加强指导</w:t>
      </w:r>
      <w:r>
        <w:rPr>
          <w:rFonts w:hint="default" w:ascii="仿宋_GB2312" w:hAnsi="仿宋_GB2312" w:eastAsia="仿宋_GB2312" w:cs="仿宋_GB2312"/>
          <w:snapToGrid w:val="0"/>
          <w:color w:val="auto"/>
          <w:spacing w:val="6"/>
          <w:kern w:val="32"/>
          <w:sz w:val="32"/>
          <w:szCs w:val="32"/>
          <w:lang w:val="en-US" w:eastAsia="zh-CN" w:bidi="ar-SA"/>
        </w:rPr>
        <w:t>，</w:t>
      </w:r>
      <w:r>
        <w:rPr>
          <w:rFonts w:hint="eastAsia" w:ascii="仿宋_GB2312" w:hAnsi="仿宋_GB2312" w:eastAsia="仿宋_GB2312" w:cs="仿宋_GB2312"/>
          <w:snapToGrid w:val="0"/>
          <w:color w:val="auto"/>
          <w:spacing w:val="6"/>
          <w:kern w:val="32"/>
          <w:sz w:val="32"/>
          <w:szCs w:val="32"/>
          <w:lang w:val="en-US" w:eastAsia="zh-CN" w:bidi="ar-SA"/>
        </w:rPr>
        <w:t>确保委托镇街事项“放得下、接得住、管得好”，不断</w:t>
      </w:r>
      <w:r>
        <w:rPr>
          <w:rFonts w:hint="default" w:ascii="仿宋_GB2312" w:hAnsi="仿宋_GB2312" w:eastAsia="仿宋_GB2312" w:cs="仿宋_GB2312"/>
          <w:snapToGrid w:val="0"/>
          <w:color w:val="auto"/>
          <w:spacing w:val="6"/>
          <w:kern w:val="32"/>
          <w:sz w:val="32"/>
          <w:szCs w:val="32"/>
          <w:lang w:val="en-US" w:eastAsia="zh-CN" w:bidi="ar-SA"/>
        </w:rPr>
        <w:t>提高行政许可工作的科学化和法制化水平。</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三）公开公示情况。坚持“公开为常态，不公开为例外”原则，在我局政务网全面推进执行、管理、服务、结果公开和重点领域信息公开。在广东省政务服务网，公开行政许可办事指南，让社会公众了解放权情况、监督放权进程、评价放权效果，做到权力公开透明、群众明白办事。同时，根据“双公示”要求，及时做好行政许可审批结果公示。</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（四）监督管理情况。我局认真开展行政许可事项事中事后监管。在事中监管环节，我局对部分行政许可事项依法进行现场核查，符合许可条件才予以审批。在事后监管环节，</w:t>
      </w:r>
      <w:r>
        <w:rPr>
          <w:rFonts w:hint="default" w:ascii="仿宋_GB2312" w:hAnsi="仿宋_GB2312" w:eastAsia="仿宋_GB2312" w:cs="仿宋_GB2312"/>
          <w:snapToGrid w:val="0"/>
          <w:color w:val="auto"/>
          <w:spacing w:val="6"/>
          <w:kern w:val="32"/>
          <w:sz w:val="32"/>
          <w:szCs w:val="32"/>
          <w:lang w:val="en-US" w:eastAsia="zh-CN" w:bidi="ar-SA"/>
        </w:rPr>
        <w:t>通过日常巡查与专项行动相结合方式，对经行政许可的事项活动依法依规进行监督检查</w:t>
      </w:r>
      <w:r>
        <w:rPr>
          <w:rFonts w:hint="eastAsia" w:ascii="仿宋_GB2312" w:hAnsi="仿宋_GB2312" w:eastAsia="仿宋_GB2312" w:cs="仿宋_GB2312"/>
          <w:snapToGrid w:val="0"/>
          <w:color w:val="auto"/>
          <w:spacing w:val="6"/>
          <w:kern w:val="3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1.</w:t>
      </w:r>
      <w:r>
        <w:rPr>
          <w:rFonts w:hint="default" w:ascii="仿宋_GB2312" w:hAnsi="仿宋_GB2312" w:eastAsia="仿宋_GB2312" w:cs="仿宋_GB2312"/>
          <w:snapToGrid w:val="0"/>
          <w:color w:val="auto"/>
          <w:spacing w:val="6"/>
          <w:kern w:val="32"/>
          <w:sz w:val="32"/>
          <w:szCs w:val="32"/>
          <w:lang w:val="en-US" w:eastAsia="zh-CN" w:bidi="ar-SA"/>
        </w:rPr>
        <w:t>重点打击未经行政许可违法经营劳动派遣行为，大力整顿人力资源市场秩序，维护劳动者合法权益。在2024年度劳务派遣和综合计算工时工作制行政许可实施过程中没有出现违法违规情况</w:t>
      </w:r>
      <w:r>
        <w:rPr>
          <w:rFonts w:hint="eastAsia" w:ascii="仿宋_GB2312" w:hAnsi="仿宋_GB2312" w:eastAsia="仿宋_GB2312" w:cs="仿宋_GB2312"/>
          <w:snapToGrid w:val="0"/>
          <w:color w:val="auto"/>
          <w:spacing w:val="6"/>
          <w:kern w:val="3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2.推进人社领域诚信建设工作，打造人力资源诚信服务示范机构，研制《中山市人力资源服务业发展白皮书》，以点带面，促进人力资源服务行业守法经营、诚信服务。指导镇街人社分局对经营性人力资源服务机构实施动态监督管理，联同局相关职能科室开展清理整顿人力资源市场秩序专项行动等活动工作。</w:t>
      </w:r>
    </w:p>
    <w:p>
      <w:pPr>
        <w:keepNext w:val="0"/>
        <w:keepLines w:val="0"/>
        <w:pageBreakBefore w:val="0"/>
        <w:widowControl w:val="0"/>
        <w:numPr>
          <w:ilvl w:val="-1"/>
          <w:numId w:val="0"/>
        </w:numPr>
        <w:kinsoku/>
        <w:wordWrap/>
        <w:overflowPunct/>
        <w:topLinePunct w:val="0"/>
        <w:autoSpaceDE/>
        <w:autoSpaceDN/>
        <w:bidi w:val="0"/>
        <w:adjustRightInd/>
        <w:snapToGrid/>
        <w:spacing w:after="0" w:afterLines="0" w:afterAutospacing="0" w:line="574" w:lineRule="exact"/>
        <w:ind w:left="0" w:leftChars="0" w:right="0" w:rightChars="0" w:firstLine="688" w:firstLineChars="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3.</w:t>
      </w:r>
      <w:r>
        <w:rPr>
          <w:rFonts w:hint="eastAsia" w:ascii="Times New Roman" w:hAnsi="Times New Roman" w:eastAsia="仿宋_GB2312" w:cs="宋体"/>
          <w:sz w:val="32"/>
          <w:szCs w:val="32"/>
          <w:lang w:val="en-US" w:eastAsia="zh-CN" w:bidi="ar-SA"/>
        </w:rPr>
        <w:t>通过公开投诉举报电话、邮箱信息等方式畅通外部监督渠道，接受社会公众和新闻媒体的监督。2024年度</w:t>
      </w:r>
      <w:r>
        <w:rPr>
          <w:rFonts w:hint="eastAsia" w:ascii="Calibri" w:hAnsi="Calibri" w:eastAsia="仿宋_GB2312" w:cs="Times New Roman"/>
          <w:snapToGrid w:val="0"/>
          <w:color w:val="000000"/>
          <w:spacing w:val="6"/>
          <w:kern w:val="32"/>
          <w:sz w:val="32"/>
          <w:szCs w:val="22"/>
          <w:lang w:val="en-US" w:eastAsia="zh-CN" w:bidi="ar-SA"/>
        </w:rPr>
        <w:t>没有接到相关的举报投诉。</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五）实施效果。通过行政许可清单化管理、依法依规实施、提升服务效能、强化事中事后监管，切实提高了行政许可事项办事规范度和便捷度，进一步维护了劳动力市场秩序，保障了企业和劳动者的合法权益，促进了社会公众对服务认可度和服务满意度，取得了良好的社会效益，达到了设立行政许可预期效果。</w:t>
      </w:r>
    </w:p>
    <w:p>
      <w:pPr>
        <w:keepNext w:val="0"/>
        <w:keepLines w:val="0"/>
        <w:pageBreakBefore w:val="0"/>
        <w:widowControl w:val="0"/>
        <w:kinsoku/>
        <w:topLinePunct w:val="0"/>
        <w:bidi w:val="0"/>
        <w:spacing w:after="0" w:afterLines="0" w:afterAutospacing="0" w:line="574" w:lineRule="exact"/>
        <w:ind w:left="0" w:leftChars="0" w:right="0" w:rightChars="0" w:firstLine="688"/>
        <w:jc w:val="both"/>
        <w:textAlignment w:val="auto"/>
        <w:rPr>
          <w:rFonts w:hint="eastAsia" w:ascii="黑体" w:hAnsi="黑体" w:eastAsia="黑体" w:cs="黑体"/>
          <w:snapToGrid w:val="0"/>
          <w:color w:val="auto"/>
          <w:spacing w:val="6"/>
          <w:kern w:val="32"/>
          <w:sz w:val="32"/>
          <w:szCs w:val="24"/>
          <w:lang w:val="en-US" w:eastAsia="zh-CN" w:bidi="ar-SA"/>
        </w:rPr>
      </w:pPr>
      <w:r>
        <w:rPr>
          <w:rFonts w:hint="eastAsia" w:ascii="黑体" w:hAnsi="黑体" w:eastAsia="黑体" w:cs="黑体"/>
          <w:snapToGrid w:val="0"/>
          <w:color w:val="auto"/>
          <w:spacing w:val="6"/>
          <w:kern w:val="32"/>
          <w:sz w:val="32"/>
          <w:szCs w:val="24"/>
          <w:lang w:val="en-US" w:eastAsia="zh-CN" w:bidi="ar-SA"/>
        </w:rPr>
        <w:t>二、存在问题和困难</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default" w:ascii="仿宋_GB2312" w:hAnsi="仿宋_GB2312" w:eastAsia="仿宋_GB2312" w:cs="仿宋_GB2312"/>
          <w:snapToGrid w:val="0"/>
          <w:color w:val="auto"/>
          <w:spacing w:val="6"/>
          <w:kern w:val="32"/>
          <w:sz w:val="32"/>
          <w:szCs w:val="32"/>
          <w:lang w:val="en-US" w:eastAsia="zh-CN" w:bidi="ar-SA"/>
        </w:rPr>
        <w:t>一是部分镇街承接力量较弱，</w:t>
      </w:r>
      <w:r>
        <w:rPr>
          <w:rFonts w:hint="eastAsia" w:ascii="仿宋_GB2312" w:hAnsi="仿宋_GB2312" w:eastAsia="仿宋_GB2312" w:cs="仿宋_GB2312"/>
          <w:snapToGrid w:val="0"/>
          <w:color w:val="auto"/>
          <w:spacing w:val="6"/>
          <w:kern w:val="32"/>
          <w:sz w:val="32"/>
          <w:szCs w:val="32"/>
          <w:lang w:val="en-US" w:eastAsia="zh-CN" w:bidi="ar-SA"/>
        </w:rPr>
        <w:t>人、财、物</w:t>
      </w:r>
      <w:r>
        <w:rPr>
          <w:rFonts w:hint="default" w:ascii="仿宋_GB2312" w:hAnsi="仿宋_GB2312" w:eastAsia="仿宋_GB2312" w:cs="仿宋_GB2312"/>
          <w:snapToGrid w:val="0"/>
          <w:color w:val="auto"/>
          <w:spacing w:val="6"/>
          <w:kern w:val="32"/>
          <w:sz w:val="32"/>
          <w:szCs w:val="32"/>
          <w:lang w:val="en-US" w:eastAsia="zh-CN" w:bidi="ar-SA"/>
        </w:rPr>
        <w:t>配置不足，</w:t>
      </w:r>
      <w:r>
        <w:rPr>
          <w:rFonts w:hint="eastAsia" w:ascii="仿宋_GB2312" w:hAnsi="仿宋_GB2312" w:eastAsia="仿宋_GB2312" w:cs="仿宋_GB2312"/>
          <w:snapToGrid w:val="0"/>
          <w:color w:val="auto"/>
          <w:spacing w:val="6"/>
          <w:kern w:val="32"/>
          <w:sz w:val="32"/>
          <w:szCs w:val="32"/>
          <w:lang w:val="en-US" w:eastAsia="zh-CN" w:bidi="ar-SA"/>
        </w:rPr>
        <w:t>工作效率和办事准确度</w:t>
      </w:r>
      <w:r>
        <w:rPr>
          <w:rFonts w:hint="default" w:ascii="仿宋_GB2312" w:hAnsi="仿宋_GB2312" w:eastAsia="仿宋_GB2312" w:cs="仿宋_GB2312"/>
          <w:snapToGrid w:val="0"/>
          <w:color w:val="auto"/>
          <w:spacing w:val="6"/>
          <w:kern w:val="32"/>
          <w:sz w:val="32"/>
          <w:szCs w:val="32"/>
          <w:lang w:val="en-US" w:eastAsia="zh-CN" w:bidi="ar-SA"/>
        </w:rPr>
        <w:t>有待提升。</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default" w:ascii="仿宋_GB2312" w:hAnsi="仿宋_GB2312" w:eastAsia="仿宋_GB2312" w:cs="仿宋_GB2312"/>
          <w:snapToGrid w:val="0"/>
          <w:color w:val="auto"/>
          <w:spacing w:val="6"/>
          <w:kern w:val="32"/>
          <w:sz w:val="32"/>
          <w:szCs w:val="32"/>
          <w:lang w:val="en-US" w:eastAsia="zh-CN" w:bidi="ar-SA"/>
        </w:rPr>
        <w:t>二是部分群众对网上办理流程</w:t>
      </w:r>
      <w:r>
        <w:rPr>
          <w:rFonts w:hint="eastAsia" w:ascii="仿宋_GB2312" w:hAnsi="仿宋_GB2312" w:eastAsia="仿宋_GB2312" w:cs="仿宋_GB2312"/>
          <w:snapToGrid w:val="0"/>
          <w:color w:val="auto"/>
          <w:spacing w:val="6"/>
          <w:kern w:val="32"/>
          <w:sz w:val="32"/>
          <w:szCs w:val="32"/>
          <w:lang w:val="en-US" w:eastAsia="zh-CN" w:bidi="ar-SA"/>
        </w:rPr>
        <w:t>不熟悉</w:t>
      </w:r>
      <w:r>
        <w:rPr>
          <w:rFonts w:hint="default" w:ascii="仿宋_GB2312" w:hAnsi="仿宋_GB2312" w:eastAsia="仿宋_GB2312" w:cs="仿宋_GB2312"/>
          <w:snapToGrid w:val="0"/>
          <w:color w:val="auto"/>
          <w:spacing w:val="6"/>
          <w:kern w:val="32"/>
          <w:sz w:val="32"/>
          <w:szCs w:val="32"/>
          <w:lang w:val="en-US" w:eastAsia="zh-CN" w:bidi="ar-SA"/>
        </w:rPr>
        <w:t>，</w:t>
      </w:r>
      <w:r>
        <w:rPr>
          <w:rFonts w:hint="eastAsia" w:ascii="仿宋_GB2312" w:hAnsi="仿宋_GB2312" w:eastAsia="仿宋_GB2312" w:cs="仿宋_GB2312"/>
          <w:snapToGrid w:val="0"/>
          <w:color w:val="auto"/>
          <w:spacing w:val="6"/>
          <w:kern w:val="32"/>
          <w:sz w:val="32"/>
          <w:szCs w:val="32"/>
          <w:lang w:val="en-US" w:eastAsia="zh-CN" w:bidi="ar-SA"/>
        </w:rPr>
        <w:t>办理过程中反复</w:t>
      </w:r>
      <w:r>
        <w:rPr>
          <w:rFonts w:hint="default" w:ascii="仿宋_GB2312" w:hAnsi="仿宋_GB2312" w:eastAsia="仿宋_GB2312" w:cs="仿宋_GB2312"/>
          <w:snapToGrid w:val="0"/>
          <w:color w:val="auto"/>
          <w:spacing w:val="6"/>
          <w:kern w:val="32"/>
          <w:sz w:val="32"/>
          <w:szCs w:val="32"/>
          <w:lang w:val="en-US" w:eastAsia="zh-CN" w:bidi="ar-SA"/>
        </w:rPr>
        <w:t>现场咨询、电话咨询，加大</w:t>
      </w:r>
      <w:r>
        <w:rPr>
          <w:rFonts w:hint="eastAsia" w:ascii="仿宋_GB2312" w:hAnsi="仿宋_GB2312" w:eastAsia="仿宋_GB2312" w:cs="仿宋_GB2312"/>
          <w:snapToGrid w:val="0"/>
          <w:color w:val="auto"/>
          <w:spacing w:val="6"/>
          <w:kern w:val="32"/>
          <w:sz w:val="32"/>
          <w:szCs w:val="32"/>
          <w:lang w:val="en-US" w:eastAsia="zh-CN" w:bidi="ar-SA"/>
        </w:rPr>
        <w:t>了</w:t>
      </w:r>
      <w:r>
        <w:rPr>
          <w:rFonts w:hint="default" w:ascii="仿宋_GB2312" w:hAnsi="仿宋_GB2312" w:eastAsia="仿宋_GB2312" w:cs="仿宋_GB2312"/>
          <w:snapToGrid w:val="0"/>
          <w:color w:val="auto"/>
          <w:spacing w:val="6"/>
          <w:kern w:val="32"/>
          <w:sz w:val="32"/>
          <w:szCs w:val="32"/>
          <w:lang w:val="en-US" w:eastAsia="zh-CN" w:bidi="ar-SA"/>
        </w:rPr>
        <w:t>窗口接待压力。</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三是网办业务依托省业务平台，部分审批、年报等业务功能尚不完善，存在数据读取不精准、电子章信息无法辨识等问题。</w:t>
      </w:r>
    </w:p>
    <w:p>
      <w:pPr>
        <w:keepNext w:val="0"/>
        <w:keepLines w:val="0"/>
        <w:pageBreakBefore w:val="0"/>
        <w:widowControl w:val="0"/>
        <w:numPr>
          <w:ilvl w:val="0"/>
          <w:numId w:val="1"/>
        </w:numPr>
        <w:kinsoku/>
        <w:topLinePunct w:val="0"/>
        <w:bidi w:val="0"/>
        <w:spacing w:after="0" w:afterLines="0" w:afterAutospacing="0" w:line="574" w:lineRule="exact"/>
        <w:ind w:left="0" w:leftChars="0" w:right="0" w:rightChars="0" w:firstLine="688"/>
        <w:jc w:val="both"/>
        <w:textAlignment w:val="auto"/>
        <w:rPr>
          <w:rFonts w:hint="eastAsia" w:ascii="黑体" w:hAnsi="黑体" w:eastAsia="黑体" w:cs="黑体"/>
          <w:snapToGrid w:val="0"/>
          <w:color w:val="auto"/>
          <w:spacing w:val="6"/>
          <w:kern w:val="32"/>
          <w:sz w:val="32"/>
          <w:szCs w:val="24"/>
          <w:lang w:val="en-US" w:eastAsia="zh-CN" w:bidi="ar-SA"/>
        </w:rPr>
      </w:pPr>
      <w:r>
        <w:rPr>
          <w:rFonts w:hint="eastAsia" w:ascii="黑体" w:hAnsi="黑体" w:eastAsia="黑体" w:cs="黑体"/>
          <w:snapToGrid w:val="0"/>
          <w:color w:val="auto"/>
          <w:spacing w:val="6"/>
          <w:kern w:val="32"/>
          <w:sz w:val="32"/>
          <w:szCs w:val="24"/>
          <w:lang w:val="en-US" w:eastAsia="zh-CN" w:bidi="ar-SA"/>
        </w:rPr>
        <w:t>下一步工作措施及有关建议</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（一）加强干部队伍建设。通过定期开展窗口人员、行政执法人员等特别是镇区分局</w:t>
      </w:r>
      <w:bookmarkStart w:id="0" w:name="_GoBack"/>
      <w:bookmarkEnd w:id="0"/>
      <w:r>
        <w:rPr>
          <w:rFonts w:hint="eastAsia" w:ascii="仿宋_GB2312" w:hAnsi="仿宋_GB2312" w:eastAsia="仿宋_GB2312" w:cs="仿宋_GB2312"/>
          <w:snapToGrid w:val="0"/>
          <w:color w:val="auto"/>
          <w:spacing w:val="6"/>
          <w:kern w:val="32"/>
          <w:sz w:val="32"/>
          <w:szCs w:val="32"/>
          <w:lang w:val="en-US" w:eastAsia="zh-CN" w:bidi="ar-SA"/>
        </w:rPr>
        <w:t>工作人员有针对性、多渠道、高质量的法律知识和业务技能培训，切实提高行政服务水平和综合行政执法水平。</w:t>
      </w:r>
      <w:r>
        <w:rPr>
          <w:rFonts w:hint="default" w:ascii="仿宋_GB2312" w:hAnsi="仿宋_GB2312" w:eastAsia="仿宋_GB2312" w:cs="仿宋_GB2312"/>
          <w:snapToGrid w:val="0"/>
          <w:color w:val="auto"/>
          <w:spacing w:val="6"/>
          <w:kern w:val="32"/>
          <w:sz w:val="32"/>
          <w:szCs w:val="32"/>
          <w:lang w:val="en-US" w:eastAsia="zh-CN" w:bidi="ar-SA"/>
        </w:rPr>
        <w:t>进一步完善和提高</w:t>
      </w:r>
      <w:r>
        <w:rPr>
          <w:rFonts w:hint="eastAsia" w:ascii="仿宋_GB2312" w:hAnsi="仿宋_GB2312" w:eastAsia="仿宋_GB2312" w:cs="仿宋_GB2312"/>
          <w:snapToGrid w:val="0"/>
          <w:color w:val="auto"/>
          <w:spacing w:val="6"/>
          <w:kern w:val="32"/>
          <w:sz w:val="32"/>
          <w:szCs w:val="32"/>
          <w:lang w:val="en-US" w:eastAsia="zh-CN" w:bidi="ar-SA"/>
        </w:rPr>
        <w:t>政务服务</w:t>
      </w:r>
      <w:r>
        <w:rPr>
          <w:rFonts w:hint="default" w:ascii="仿宋_GB2312" w:hAnsi="仿宋_GB2312" w:eastAsia="仿宋_GB2312" w:cs="仿宋_GB2312"/>
          <w:snapToGrid w:val="0"/>
          <w:color w:val="auto"/>
          <w:spacing w:val="6"/>
          <w:kern w:val="32"/>
          <w:sz w:val="32"/>
          <w:szCs w:val="32"/>
          <w:lang w:val="en-US" w:eastAsia="zh-CN" w:bidi="ar-SA"/>
        </w:rPr>
        <w:t>规范化建设水平</w:t>
      </w:r>
      <w:r>
        <w:rPr>
          <w:rFonts w:hint="eastAsia" w:ascii="仿宋_GB2312" w:hAnsi="仿宋_GB2312" w:eastAsia="仿宋_GB2312" w:cs="仿宋_GB2312"/>
          <w:snapToGrid w:val="0"/>
          <w:color w:val="auto"/>
          <w:spacing w:val="6"/>
          <w:kern w:val="32"/>
          <w:sz w:val="32"/>
          <w:szCs w:val="32"/>
          <w:lang w:val="en-US" w:eastAsia="zh-CN" w:bidi="ar-SA"/>
        </w:rPr>
        <w:t>，</w:t>
      </w:r>
      <w:r>
        <w:rPr>
          <w:rFonts w:hint="default" w:ascii="仿宋_GB2312" w:hAnsi="仿宋_GB2312" w:eastAsia="仿宋_GB2312" w:cs="仿宋_GB2312"/>
          <w:snapToGrid w:val="0"/>
          <w:color w:val="auto"/>
          <w:spacing w:val="6"/>
          <w:kern w:val="32"/>
          <w:sz w:val="32"/>
          <w:szCs w:val="32"/>
          <w:lang w:val="en-US" w:eastAsia="zh-CN" w:bidi="ar-SA"/>
        </w:rPr>
        <w:t>创新工作举措，解放思想，更新观念，提高</w:t>
      </w:r>
      <w:r>
        <w:rPr>
          <w:rFonts w:hint="eastAsia" w:ascii="仿宋_GB2312" w:hAnsi="仿宋_GB2312" w:eastAsia="仿宋_GB2312" w:cs="仿宋_GB2312"/>
          <w:snapToGrid w:val="0"/>
          <w:color w:val="auto"/>
          <w:spacing w:val="6"/>
          <w:kern w:val="32"/>
          <w:sz w:val="32"/>
          <w:szCs w:val="32"/>
          <w:lang w:val="en-US" w:eastAsia="zh-CN" w:bidi="ar-SA"/>
        </w:rPr>
        <w:t>干部队伍</w:t>
      </w:r>
      <w:r>
        <w:rPr>
          <w:rFonts w:hint="default" w:ascii="仿宋_GB2312" w:hAnsi="仿宋_GB2312" w:eastAsia="仿宋_GB2312" w:cs="仿宋_GB2312"/>
          <w:snapToGrid w:val="0"/>
          <w:color w:val="auto"/>
          <w:spacing w:val="6"/>
          <w:kern w:val="32"/>
          <w:sz w:val="32"/>
          <w:szCs w:val="32"/>
          <w:lang w:val="en-US" w:eastAsia="zh-CN" w:bidi="ar-SA"/>
        </w:rPr>
        <w:t>工作能力</w:t>
      </w:r>
      <w:r>
        <w:rPr>
          <w:rFonts w:hint="eastAsia" w:ascii="仿宋_GB2312" w:hAnsi="仿宋_GB2312" w:eastAsia="仿宋_GB2312" w:cs="仿宋_GB2312"/>
          <w:snapToGrid w:val="0"/>
          <w:color w:val="auto"/>
          <w:spacing w:val="6"/>
          <w:kern w:val="32"/>
          <w:sz w:val="32"/>
          <w:szCs w:val="32"/>
          <w:lang w:val="en-US" w:eastAsia="zh-CN" w:bidi="ar-SA"/>
        </w:rPr>
        <w:t>、</w:t>
      </w:r>
      <w:r>
        <w:rPr>
          <w:rFonts w:hint="default" w:ascii="仿宋_GB2312" w:hAnsi="仿宋_GB2312" w:eastAsia="仿宋_GB2312" w:cs="仿宋_GB2312"/>
          <w:snapToGrid w:val="0"/>
          <w:color w:val="auto"/>
          <w:spacing w:val="6"/>
          <w:kern w:val="32"/>
          <w:sz w:val="32"/>
          <w:szCs w:val="32"/>
          <w:lang w:val="en-US" w:eastAsia="zh-CN" w:bidi="ar-SA"/>
        </w:rPr>
        <w:t>服务意识和大局意识。</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（二）持续</w:t>
      </w:r>
      <w:r>
        <w:rPr>
          <w:rFonts w:hint="default" w:ascii="仿宋_GB2312" w:hAnsi="仿宋_GB2312" w:eastAsia="仿宋_GB2312" w:cs="仿宋_GB2312"/>
          <w:snapToGrid w:val="0"/>
          <w:color w:val="auto"/>
          <w:spacing w:val="6"/>
          <w:kern w:val="32"/>
          <w:sz w:val="32"/>
          <w:szCs w:val="32"/>
          <w:lang w:val="en-US" w:eastAsia="zh-CN" w:bidi="ar-SA"/>
        </w:rPr>
        <w:t>深化行政审批制度改革。完善行政审批等各项管理制度，简化行政审批流程环节，落实一次性告知制、办理时限承诺制、责任追究制等制度。</w:t>
      </w:r>
      <w:r>
        <w:rPr>
          <w:rFonts w:hint="eastAsia" w:ascii="仿宋_GB2312" w:hAnsi="仿宋_GB2312" w:eastAsia="仿宋_GB2312" w:cs="仿宋_GB2312"/>
          <w:snapToGrid w:val="0"/>
          <w:color w:val="auto"/>
          <w:spacing w:val="6"/>
          <w:kern w:val="32"/>
          <w:sz w:val="32"/>
          <w:szCs w:val="32"/>
          <w:lang w:val="en-US" w:eastAsia="zh-CN" w:bidi="ar-SA"/>
        </w:rPr>
        <w:t>实现“一次告知、一表申请，一套材料、一窗（端）受理、一网办理”的服务模式。</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（三）结合“双随机一公开”工作的开展，进一步细化行政许可事中事后监管标准，加大对被许可用人单位巡查力度和比例，加大对行政许可违法违规行为的查处力度，营造良好法治社会氛围。</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default"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（四）不断提升“网上办”的便捷度和体验感</w:t>
      </w:r>
      <w:r>
        <w:rPr>
          <w:rFonts w:hint="default" w:ascii="仿宋_GB2312" w:hAnsi="仿宋_GB2312" w:eastAsia="仿宋_GB2312" w:cs="仿宋_GB2312"/>
          <w:snapToGrid w:val="0"/>
          <w:color w:val="auto"/>
          <w:spacing w:val="6"/>
          <w:kern w:val="32"/>
          <w:sz w:val="32"/>
          <w:szCs w:val="32"/>
          <w:lang w:val="en-US" w:eastAsia="zh-CN" w:bidi="ar-SA"/>
        </w:rPr>
        <w:t>，</w:t>
      </w:r>
      <w:r>
        <w:rPr>
          <w:rFonts w:hint="eastAsia" w:ascii="仿宋_GB2312" w:hAnsi="仿宋_GB2312" w:eastAsia="仿宋_GB2312" w:cs="仿宋_GB2312"/>
          <w:snapToGrid w:val="0"/>
          <w:color w:val="auto"/>
          <w:spacing w:val="6"/>
          <w:kern w:val="32"/>
          <w:sz w:val="32"/>
          <w:szCs w:val="32"/>
          <w:lang w:val="en-US" w:eastAsia="zh-CN" w:bidi="ar-SA"/>
        </w:rPr>
        <w:t>为群众提供更加优质高效的政务服务</w:t>
      </w:r>
      <w:r>
        <w:rPr>
          <w:rFonts w:hint="default" w:ascii="仿宋_GB2312" w:hAnsi="仿宋_GB2312" w:eastAsia="仿宋_GB2312" w:cs="仿宋_GB2312"/>
          <w:snapToGrid w:val="0"/>
          <w:color w:val="auto"/>
          <w:spacing w:val="6"/>
          <w:kern w:val="3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right="0" w:rightChars="0"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p>
    <w:p>
      <w:pPr>
        <w:pStyle w:val="2"/>
        <w:rPr>
          <w:rFonts w:hint="eastAsia"/>
          <w:lang w:val="en-US" w:eastAsia="zh-CN"/>
        </w:rPr>
      </w:pPr>
    </w:p>
    <w:p>
      <w:pPr>
        <w:keepNext w:val="0"/>
        <w:keepLines w:val="0"/>
        <w:pageBreakBefore w:val="0"/>
        <w:widowControl w:val="0"/>
        <w:numPr>
          <w:ilvl w:val="0"/>
          <w:numId w:val="0"/>
        </w:numPr>
        <w:kinsoku/>
        <w:wordWrap w:val="0"/>
        <w:topLinePunct w:val="0"/>
        <w:bidi w:val="0"/>
        <w:spacing w:after="0" w:afterLines="0" w:line="574" w:lineRule="exact"/>
        <w:ind w:left="0" w:leftChars="0" w:right="0" w:rightChars="0" w:firstLine="688"/>
        <w:jc w:val="right"/>
        <w:textAlignment w:val="auto"/>
        <w:rPr>
          <w:rFonts w:hint="eastAsia" w:ascii="仿宋_GB2312" w:hAnsi="仿宋_GB2312" w:eastAsia="仿宋_GB2312" w:cs="仿宋_GB2312"/>
          <w:snapToGrid w:val="0"/>
          <w:color w:val="auto"/>
          <w:spacing w:val="6"/>
          <w:kern w:val="32"/>
          <w:sz w:val="32"/>
          <w:szCs w:val="24"/>
          <w:lang w:val="en-US" w:eastAsia="zh-CN" w:bidi="ar-SA"/>
        </w:rPr>
      </w:pPr>
      <w:r>
        <w:rPr>
          <w:rFonts w:hint="eastAsia" w:ascii="仿宋_GB2312" w:hAnsi="仿宋_GB2312" w:eastAsia="仿宋_GB2312" w:cs="仿宋_GB2312"/>
          <w:snapToGrid w:val="0"/>
          <w:color w:val="auto"/>
          <w:spacing w:val="6"/>
          <w:kern w:val="32"/>
          <w:sz w:val="32"/>
          <w:szCs w:val="24"/>
          <w:lang w:val="en-US" w:eastAsia="zh-CN" w:bidi="ar-SA"/>
        </w:rPr>
        <w:t>中山市人力资源和社会保障局</w:t>
      </w:r>
    </w:p>
    <w:p>
      <w:pPr>
        <w:keepNext w:val="0"/>
        <w:keepLines w:val="0"/>
        <w:pageBreakBefore w:val="0"/>
        <w:widowControl w:val="0"/>
        <w:numPr>
          <w:ilvl w:val="0"/>
          <w:numId w:val="0"/>
        </w:numPr>
        <w:kinsoku/>
        <w:wordWrap w:val="0"/>
        <w:topLinePunct w:val="0"/>
        <w:bidi w:val="0"/>
        <w:spacing w:after="0" w:afterLines="0" w:line="574" w:lineRule="exact"/>
        <w:ind w:left="0" w:leftChars="0" w:right="0" w:rightChars="0" w:firstLine="688"/>
        <w:jc w:val="right"/>
        <w:textAlignment w:val="auto"/>
        <w:rPr>
          <w:rFonts w:hint="eastAsia" w:ascii="Calibri" w:hAnsi="Calibri" w:eastAsia="仿宋_GB2312" w:cs="Times New Roman"/>
          <w:snapToGrid w:val="0"/>
          <w:color w:val="auto"/>
          <w:spacing w:val="6"/>
          <w:kern w:val="32"/>
          <w:sz w:val="32"/>
          <w:szCs w:val="24"/>
          <w:lang w:val="en-US" w:eastAsia="zh-CN" w:bidi="ar-SA"/>
        </w:rPr>
      </w:pPr>
      <w:r>
        <w:rPr>
          <w:rFonts w:hint="eastAsia" w:ascii="仿宋_GB2312" w:hAnsi="仿宋_GB2312" w:eastAsia="仿宋_GB2312" w:cs="仿宋_GB2312"/>
          <w:snapToGrid w:val="0"/>
          <w:color w:val="auto"/>
          <w:spacing w:val="6"/>
          <w:kern w:val="32"/>
          <w:sz w:val="32"/>
          <w:szCs w:val="24"/>
          <w:lang w:val="en-US" w:eastAsia="zh-CN" w:bidi="ar-SA"/>
        </w:rPr>
        <w:t xml:space="preserve">2025年3月25日  </w:t>
      </w:r>
      <w:r>
        <w:rPr>
          <w:rFonts w:hint="eastAsia" w:ascii="Calibri" w:hAnsi="Calibri" w:eastAsia="仿宋_GB2312" w:cs="Times New Roman"/>
          <w:snapToGrid w:val="0"/>
          <w:color w:val="auto"/>
          <w:spacing w:val="6"/>
          <w:kern w:val="32"/>
          <w:sz w:val="32"/>
          <w:szCs w:val="24"/>
          <w:lang w:val="en-US" w:eastAsia="zh-CN" w:bidi="ar-SA"/>
        </w:rPr>
        <w:t xml:space="preserve"> </w:t>
      </w:r>
    </w:p>
    <w:p>
      <w:pPr>
        <w:widowControl/>
        <w:numPr>
          <w:ilvl w:val="0"/>
          <w:numId w:val="0"/>
        </w:numPr>
        <w:jc w:val="left"/>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8161CF"/>
    <w:multiLevelType w:val="singleLevel"/>
    <w:tmpl w:val="5E8161CF"/>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04376D"/>
    <w:rsid w:val="108578E2"/>
    <w:rsid w:val="122506A5"/>
    <w:rsid w:val="135E5AC4"/>
    <w:rsid w:val="1D6E1844"/>
    <w:rsid w:val="22F82360"/>
    <w:rsid w:val="2F2A5965"/>
    <w:rsid w:val="3AD01531"/>
    <w:rsid w:val="3C4415E9"/>
    <w:rsid w:val="5E9013A7"/>
    <w:rsid w:val="7104376D"/>
    <w:rsid w:val="7B5172BF"/>
    <w:rsid w:val="7C976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header"/>
    <w:basedOn w:val="1"/>
    <w:qFormat/>
    <w:uiPriority w:val="0"/>
    <w:pPr>
      <w:tabs>
        <w:tab w:val="center" w:pos="4153"/>
        <w:tab w:val="right" w:pos="8306"/>
      </w:tabs>
      <w:snapToGrid w:val="0"/>
      <w:jc w:val="center"/>
    </w:pPr>
    <w:rPr>
      <w:sz w:val="18"/>
      <w:szCs w:val="18"/>
    </w:rPr>
  </w:style>
  <w:style w:type="paragraph" w:customStyle="1" w:styleId="7">
    <w:name w:val="样式2"/>
    <w:basedOn w:val="2"/>
    <w:qFormat/>
    <w:uiPriority w:val="0"/>
    <w:rPr>
      <w:rFonts w:eastAsia="仿宋_GB2312" w:asciiTheme="minorAscii" w:hAnsiTheme="minorAscii"/>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中山市人力资源和社会保障局</Company>
  <Pages>1</Pages>
  <Words>0</Words>
  <Characters>0</Characters>
  <Lines>0</Lines>
  <Paragraphs>0</Paragraphs>
  <TotalTime>228</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2025-03-24T08:37:00Z</dcterms:created>
  <dc:creator>张雪岩</dc:creator>
  <cp:lastModifiedBy>郭燕芬</cp:lastModifiedBy>
  <cp:lastPrinted>2025-03-25T02:49:00Z</cp:lastPrinted>
  <dcterms:modified xsi:type="dcterms:W3CDTF">2025-04-03T04:05:12Z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9D5CB557DF2445B190D8AEF552830F5C</vt:lpwstr>
  </property>
</Properties>
</file>