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156" w:beforeLines="50" w:after="156" w:afterLines="50" w:line="360" w:lineRule="auto"/>
        <w:jc w:val="center"/>
        <w:outlineLvl w:val="0"/>
        <w:rPr>
          <w:rFonts w:hint="eastAsia"/>
          <w:b/>
          <w:bCs/>
          <w:color w:val="auto"/>
          <w:sz w:val="28"/>
          <w:szCs w:val="28"/>
        </w:rPr>
      </w:pPr>
      <w:bookmarkStart w:id="0" w:name="_Toc22852"/>
      <w:r>
        <w:rPr>
          <w:rFonts w:hint="eastAsia"/>
          <w:b/>
          <w:bCs/>
          <w:color w:val="auto"/>
          <w:sz w:val="28"/>
          <w:szCs w:val="28"/>
        </w:rPr>
        <w:t>用户需求书</w:t>
      </w:r>
      <w:bookmarkEnd w:id="0"/>
    </w:p>
    <w:p>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供应商须对本项目为单位的采购标的进行整体响应，任何只对采购标的其中一部分内容进行的响应都被视为无效投标。</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color w:val="auto"/>
          <w:sz w:val="21"/>
          <w:szCs w:val="21"/>
        </w:rPr>
      </w:pPr>
      <w:r>
        <w:rPr>
          <w:rFonts w:hint="eastAsia" w:ascii="宋体" w:hAnsi="宋体" w:eastAsia="宋体" w:cs="宋体"/>
          <w:b/>
          <w:bCs/>
          <w:color w:val="auto"/>
          <w:sz w:val="21"/>
          <w:szCs w:val="21"/>
        </w:rPr>
        <w:t>项目概况：</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内容与范围：</w:t>
      </w:r>
      <w:r>
        <w:rPr>
          <w:rFonts w:hint="eastAsia" w:ascii="宋体" w:hAnsi="宋体" w:eastAsia="宋体" w:cs="宋体"/>
          <w:color w:val="auto"/>
          <w:sz w:val="21"/>
          <w:szCs w:val="21"/>
          <w:lang w:eastAsia="zh-CN"/>
        </w:rPr>
        <w:t>中山市社会保险基金管理局</w:t>
      </w:r>
      <w:r>
        <w:rPr>
          <w:rFonts w:hint="eastAsia" w:ascii="宋体" w:hAnsi="宋体" w:eastAsia="宋体" w:cs="宋体"/>
          <w:color w:val="auto"/>
          <w:sz w:val="21"/>
          <w:szCs w:val="21"/>
          <w:lang w:val="en-US" w:eastAsia="zh-CN"/>
        </w:rPr>
        <w:t>购买档案耗材项目，项目总金额为</w:t>
      </w:r>
      <w:r>
        <w:rPr>
          <w:rFonts w:hint="eastAsia" w:ascii="宋体" w:hAnsi="宋体" w:cs="宋体"/>
          <w:color w:val="auto"/>
          <w:sz w:val="21"/>
          <w:szCs w:val="21"/>
          <w:lang w:val="en-US" w:eastAsia="zh-CN"/>
        </w:rPr>
        <w:t>75700</w:t>
      </w:r>
      <w:r>
        <w:rPr>
          <w:rFonts w:hint="eastAsia" w:ascii="宋体" w:hAnsi="宋体" w:eastAsia="宋体" w:cs="宋体"/>
          <w:color w:val="auto"/>
          <w:sz w:val="21"/>
          <w:szCs w:val="21"/>
          <w:lang w:val="en-US" w:eastAsia="zh-CN"/>
        </w:rPr>
        <w:t>元。</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本项目由成交供应商承包及负责竞争性磋商文件对成交供应商要求的一切事宜及责任。</w:t>
      </w:r>
    </w:p>
    <w:p>
      <w:pPr>
        <w:numPr>
          <w:ilvl w:val="0"/>
          <w:numId w:val="4"/>
        </w:numPr>
        <w:snapToGrid w:val="0"/>
        <w:spacing w:line="360" w:lineRule="auto"/>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TW"/>
        </w:rPr>
        <w:t>本项目不允许</w:t>
      </w:r>
      <w:r>
        <w:rPr>
          <w:rFonts w:hint="eastAsia" w:ascii="宋体" w:hAnsi="宋体" w:eastAsia="宋体" w:cs="宋体"/>
          <w:snapToGrid w:val="0"/>
          <w:color w:val="auto"/>
          <w:sz w:val="21"/>
          <w:szCs w:val="21"/>
        </w:rPr>
        <w:t>以任何方式</w:t>
      </w:r>
      <w:r>
        <w:rPr>
          <w:rFonts w:hint="eastAsia" w:ascii="宋体" w:hAnsi="宋体" w:eastAsia="宋体" w:cs="宋体"/>
          <w:color w:val="auto"/>
          <w:sz w:val="21"/>
          <w:szCs w:val="21"/>
          <w:lang w:eastAsia="zh-CN"/>
        </w:rPr>
        <w:t>转包或</w:t>
      </w:r>
      <w:r>
        <w:rPr>
          <w:rFonts w:hint="eastAsia" w:ascii="宋体" w:hAnsi="宋体" w:eastAsia="宋体" w:cs="宋体"/>
          <w:color w:val="auto"/>
          <w:sz w:val="21"/>
          <w:szCs w:val="21"/>
          <w:lang w:eastAsia="zh-TW"/>
        </w:rPr>
        <w:t>分包</w:t>
      </w:r>
      <w:r>
        <w:rPr>
          <w:rFonts w:hint="eastAsia" w:ascii="宋体" w:hAnsi="宋体" w:eastAsia="宋体" w:cs="宋体"/>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w:t>
      </w:r>
      <w:r>
        <w:rPr>
          <w:rFonts w:hint="eastAsia" w:ascii="宋体" w:hAnsi="宋体" w:eastAsia="宋体" w:cs="宋体"/>
          <w:b/>
          <w:bCs/>
          <w:color w:val="auto"/>
          <w:sz w:val="21"/>
          <w:szCs w:val="21"/>
          <w:lang w:eastAsia="zh-CN"/>
        </w:rPr>
        <w:t>要求</w:t>
      </w:r>
    </w:p>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技术规格及数量要求</w:t>
      </w:r>
    </w:p>
    <w:tbl>
      <w:tblPr>
        <w:tblStyle w:val="7"/>
        <w:tblW w:w="9276"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06"/>
        <w:gridCol w:w="1996"/>
        <w:gridCol w:w="3185"/>
        <w:gridCol w:w="988"/>
        <w:gridCol w:w="8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675"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606"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采购物品</w:t>
            </w:r>
          </w:p>
        </w:tc>
        <w:tc>
          <w:tcPr>
            <w:tcW w:w="1996"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w:t>
            </w:r>
            <w:r>
              <w:rPr>
                <w:rFonts w:hint="eastAsia" w:ascii="宋体" w:hAnsi="宋体" w:eastAsia="宋体" w:cs="宋体"/>
                <w:b/>
                <w:bCs/>
                <w:color w:val="auto"/>
                <w:sz w:val="21"/>
                <w:szCs w:val="21"/>
                <w:lang w:val="en-US" w:eastAsia="zh-CN"/>
              </w:rPr>
              <w:t>(W×D×H)mm</w:t>
            </w:r>
          </w:p>
        </w:tc>
        <w:tc>
          <w:tcPr>
            <w:tcW w:w="3185"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质量标准</w:t>
            </w:r>
          </w:p>
        </w:tc>
        <w:tc>
          <w:tcPr>
            <w:tcW w:w="988" w:type="dxa"/>
            <w:tcBorders>
              <w:tl2br w:val="nil"/>
              <w:tr2bl w:val="nil"/>
            </w:tcBorders>
            <w:vAlign w:val="center"/>
          </w:tcPr>
          <w:p>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826" w:type="dxa"/>
            <w:tcBorders>
              <w:tl2br w:val="nil"/>
              <w:tr2bl w:val="nil"/>
            </w:tcBorders>
            <w:vAlign w:val="center"/>
          </w:tcPr>
          <w:p>
            <w:pPr>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06"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档案专用盒</w:t>
            </w: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220×60×310</w:t>
            </w:r>
          </w:p>
        </w:tc>
        <w:tc>
          <w:tcPr>
            <w:tcW w:w="3185" w:type="dxa"/>
            <w:vMerge w:val="restart"/>
            <w:tcBorders>
              <w:tl2br w:val="nil"/>
              <w:tr2bl w:val="nil"/>
            </w:tcBorders>
            <w:vAlign w:val="center"/>
          </w:tcPr>
          <w:p>
            <w:pPr>
              <w:spacing w:line="240" w:lineRule="auto"/>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350克</w:t>
            </w:r>
            <w:r>
              <w:rPr>
                <w:rFonts w:hint="eastAsia" w:ascii="宋体" w:hAnsi="宋体" w:eastAsia="宋体" w:cs="宋体"/>
                <w:color w:val="auto"/>
                <w:kern w:val="2"/>
                <w:sz w:val="21"/>
                <w:szCs w:val="21"/>
                <w:highlight w:val="none"/>
                <w:lang w:val="en-US" w:eastAsia="zh-CN"/>
              </w:rPr>
              <w:t>+450克，</w:t>
            </w: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无酸纸GB-PH8</w:t>
            </w:r>
            <w:r>
              <w:rPr>
                <w:rFonts w:hint="eastAsia" w:ascii="宋体" w:hAnsi="宋体" w:eastAsia="宋体" w:cs="宋体"/>
                <w:color w:val="auto"/>
                <w:kern w:val="2"/>
                <w:sz w:val="21"/>
                <w:szCs w:val="21"/>
                <w:highlight w:val="none"/>
              </w:rPr>
              <w:t>对裱</w:t>
            </w:r>
          </w:p>
        </w:tc>
        <w:tc>
          <w:tcPr>
            <w:tcW w:w="988" w:type="dxa"/>
            <w:vMerge w:val="restart"/>
            <w:tcBorders>
              <w:tl2br w:val="nil"/>
              <w:tr2bl w:val="nil"/>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w:t>
            </w:r>
          </w:p>
        </w:tc>
        <w:tc>
          <w:tcPr>
            <w:tcW w:w="826" w:type="dxa"/>
            <w:vMerge w:val="restart"/>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06" w:type="dxa"/>
            <w:vMerge w:val="continue"/>
            <w:tcBorders>
              <w:tl2br w:val="nil"/>
              <w:tr2bl w:val="nil"/>
            </w:tcBorders>
            <w:vAlign w:val="center"/>
          </w:tcPr>
          <w:p>
            <w:pPr>
              <w:jc w:val="center"/>
              <w:rPr>
                <w:rFonts w:hint="eastAsia" w:ascii="宋体" w:hAnsi="宋体" w:eastAsia="宋体" w:cs="宋体"/>
                <w:b/>
                <w:color w:val="auto"/>
                <w:sz w:val="21"/>
                <w:szCs w:val="21"/>
              </w:rPr>
            </w:pP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220×40×310</w:t>
            </w:r>
          </w:p>
        </w:tc>
        <w:tc>
          <w:tcPr>
            <w:tcW w:w="3185" w:type="dxa"/>
            <w:vMerge w:val="continue"/>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p>
        </w:tc>
        <w:tc>
          <w:tcPr>
            <w:tcW w:w="988" w:type="dxa"/>
            <w:vMerge w:val="continue"/>
            <w:tcBorders>
              <w:tl2br w:val="nil"/>
              <w:tr2bl w:val="nil"/>
            </w:tcBorders>
            <w:vAlign w:val="center"/>
          </w:tcPr>
          <w:p>
            <w:pPr>
              <w:jc w:val="center"/>
              <w:rPr>
                <w:rFonts w:hint="eastAsia" w:ascii="宋体" w:hAnsi="宋体" w:eastAsia="宋体" w:cs="宋体"/>
                <w:color w:val="auto"/>
                <w:sz w:val="21"/>
                <w:szCs w:val="21"/>
                <w:lang w:eastAsia="zh-CN"/>
              </w:rPr>
            </w:pPr>
          </w:p>
        </w:tc>
        <w:tc>
          <w:tcPr>
            <w:tcW w:w="826" w:type="dxa"/>
            <w:vMerge w:val="continue"/>
            <w:tcBorders>
              <w:tl2br w:val="nil"/>
              <w:tr2bl w:val="nil"/>
            </w:tcBorders>
            <w:vAlign w:val="center"/>
          </w:tcPr>
          <w:p>
            <w:pPr>
              <w:jc w:val="center"/>
              <w:rPr>
                <w:rFonts w:hint="eastAsia" w:ascii="宋体" w:hAnsi="宋体" w:eastAsia="宋体" w:cs="宋体"/>
                <w:color w:val="auto"/>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675" w:type="dxa"/>
            <w:vMerge w:val="continue"/>
            <w:tcBorders>
              <w:tl2br w:val="nil"/>
              <w:tr2bl w:val="nil"/>
            </w:tcBorders>
            <w:vAlign w:val="center"/>
          </w:tcPr>
          <w:p>
            <w:pPr>
              <w:jc w:val="center"/>
              <w:rPr>
                <w:rFonts w:hint="eastAsia" w:ascii="宋体" w:hAnsi="宋体" w:eastAsia="宋体" w:cs="宋体"/>
                <w:color w:val="auto"/>
                <w:sz w:val="21"/>
                <w:szCs w:val="21"/>
              </w:rPr>
            </w:pPr>
          </w:p>
        </w:tc>
        <w:tc>
          <w:tcPr>
            <w:tcW w:w="1606" w:type="dxa"/>
            <w:vMerge w:val="continue"/>
            <w:tcBorders>
              <w:tl2br w:val="nil"/>
              <w:tr2bl w:val="nil"/>
            </w:tcBorders>
            <w:vAlign w:val="center"/>
          </w:tcPr>
          <w:p>
            <w:pPr>
              <w:jc w:val="center"/>
              <w:rPr>
                <w:rFonts w:hint="eastAsia" w:ascii="宋体" w:hAnsi="宋体" w:eastAsia="宋体" w:cs="宋体"/>
                <w:b/>
                <w:color w:val="auto"/>
                <w:sz w:val="21"/>
                <w:szCs w:val="21"/>
              </w:rPr>
            </w:pPr>
          </w:p>
        </w:tc>
        <w:tc>
          <w:tcPr>
            <w:tcW w:w="1996" w:type="dxa"/>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220×20×310</w:t>
            </w:r>
          </w:p>
        </w:tc>
        <w:tc>
          <w:tcPr>
            <w:tcW w:w="3185" w:type="dxa"/>
            <w:vMerge w:val="continue"/>
            <w:tcBorders>
              <w:tl2br w:val="nil"/>
              <w:tr2bl w:val="nil"/>
            </w:tcBorders>
            <w:vAlign w:val="center"/>
          </w:tcPr>
          <w:p>
            <w:pPr>
              <w:spacing w:line="240" w:lineRule="auto"/>
              <w:jc w:val="center"/>
              <w:rPr>
                <w:rFonts w:hint="eastAsia" w:ascii="宋体" w:hAnsi="宋体" w:eastAsia="宋体" w:cs="宋体"/>
                <w:color w:val="auto"/>
                <w:sz w:val="21"/>
                <w:szCs w:val="21"/>
                <w:lang w:val="en-US" w:eastAsia="zh-CN"/>
              </w:rPr>
            </w:pPr>
          </w:p>
        </w:tc>
        <w:tc>
          <w:tcPr>
            <w:tcW w:w="988" w:type="dxa"/>
            <w:vMerge w:val="continue"/>
            <w:tcBorders>
              <w:tl2br w:val="nil"/>
              <w:tr2bl w:val="nil"/>
            </w:tcBorders>
            <w:vAlign w:val="center"/>
          </w:tcPr>
          <w:p>
            <w:pPr>
              <w:jc w:val="center"/>
              <w:rPr>
                <w:rFonts w:hint="eastAsia" w:ascii="宋体" w:hAnsi="宋体" w:eastAsia="宋体" w:cs="宋体"/>
                <w:color w:val="auto"/>
                <w:sz w:val="21"/>
                <w:szCs w:val="21"/>
                <w:lang w:eastAsia="zh-CN"/>
              </w:rPr>
            </w:pPr>
          </w:p>
        </w:tc>
        <w:tc>
          <w:tcPr>
            <w:tcW w:w="826" w:type="dxa"/>
            <w:vMerge w:val="continue"/>
            <w:tcBorders>
              <w:tl2br w:val="nil"/>
              <w:tr2bl w:val="nil"/>
            </w:tcBorders>
            <w:vAlign w:val="center"/>
          </w:tcPr>
          <w:p>
            <w:pPr>
              <w:jc w:val="center"/>
              <w:rPr>
                <w:rFonts w:hint="eastAsia" w:ascii="宋体" w:hAnsi="宋体" w:eastAsia="宋体" w:cs="宋体"/>
                <w:color w:val="auto"/>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675"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p>
        </w:tc>
        <w:tc>
          <w:tcPr>
            <w:tcW w:w="1606" w:type="dxa"/>
            <w:tcBorders>
              <w:tl2br w:val="nil"/>
              <w:tr2bl w:val="nil"/>
            </w:tcBorders>
            <w:vAlign w:val="center"/>
          </w:tcPr>
          <w:p>
            <w:pPr>
              <w:jc w:val="center"/>
            </w:pPr>
            <w:r>
              <w:rPr>
                <w:rFonts w:hint="eastAsia" w:ascii="宋体" w:hAnsi="宋体" w:cs="宋体"/>
                <w:color w:val="auto"/>
                <w:sz w:val="21"/>
                <w:szCs w:val="21"/>
                <w:lang w:eastAsia="zh-CN"/>
              </w:rPr>
              <w:t>文书软卷</w:t>
            </w:r>
          </w:p>
        </w:tc>
        <w:tc>
          <w:tcPr>
            <w:tcW w:w="1996" w:type="dxa"/>
            <w:tcBorders>
              <w:tl2br w:val="nil"/>
              <w:tr2bl w:val="nil"/>
            </w:tcBorders>
            <w:vAlign w:val="center"/>
          </w:tcPr>
          <w:p>
            <w:pPr>
              <w:jc w:val="center"/>
              <w:rPr>
                <w:rFonts w:hint="eastAsia"/>
                <w:lang w:val="en-US" w:eastAsia="zh-CN"/>
              </w:rPr>
            </w:pPr>
            <w:r>
              <w:rPr>
                <w:rFonts w:hint="eastAsia"/>
                <w:lang w:val="en-US" w:eastAsia="zh-CN"/>
              </w:rPr>
              <w:t>270×298</w:t>
            </w:r>
          </w:p>
          <w:p>
            <w:pPr>
              <w:jc w:val="center"/>
              <w:rPr>
                <w:rFonts w:hint="default"/>
                <w:lang w:val="en-US"/>
              </w:rPr>
            </w:pPr>
            <w:r>
              <w:rPr>
                <w:rFonts w:hint="eastAsia"/>
                <w:lang w:val="en-US" w:eastAsia="zh-CN"/>
              </w:rPr>
              <w:t>211×298</w:t>
            </w:r>
          </w:p>
        </w:tc>
        <w:tc>
          <w:tcPr>
            <w:tcW w:w="3185" w:type="dxa"/>
            <w:tcBorders>
              <w:tl2br w:val="nil"/>
              <w:tr2bl w:val="nil"/>
            </w:tcBorders>
            <w:vAlign w:val="center"/>
          </w:tcPr>
          <w:p>
            <w:pPr>
              <w:jc w:val="center"/>
            </w:pPr>
          </w:p>
        </w:tc>
        <w:tc>
          <w:tcPr>
            <w:tcW w:w="988" w:type="dxa"/>
            <w:tcBorders>
              <w:tl2br w:val="nil"/>
              <w:tr2bl w:val="nil"/>
            </w:tcBorders>
            <w:vAlign w:val="center"/>
          </w:tcPr>
          <w:p>
            <w:pPr>
              <w:jc w:val="center"/>
            </w:pPr>
            <w:r>
              <w:rPr>
                <w:rFonts w:hint="eastAsia" w:ascii="宋体" w:hAnsi="宋体" w:cs="宋体"/>
                <w:color w:val="auto"/>
                <w:sz w:val="21"/>
                <w:szCs w:val="21"/>
                <w:lang w:val="en-US" w:eastAsia="zh-CN"/>
              </w:rPr>
              <w:t>套</w:t>
            </w:r>
          </w:p>
        </w:tc>
        <w:tc>
          <w:tcPr>
            <w:tcW w:w="826" w:type="dxa"/>
            <w:tcBorders>
              <w:tl2br w:val="nil"/>
              <w:tr2bl w:val="nil"/>
            </w:tcBorders>
            <w:vAlign w:val="center"/>
          </w:tcPr>
          <w:p>
            <w:pPr>
              <w:jc w:val="center"/>
              <w:rPr>
                <w:rFonts w:hint="eastAsia" w:eastAsia="宋体"/>
                <w:lang w:val="en-US" w:eastAsia="zh-CN"/>
              </w:rPr>
            </w:pPr>
            <w:r>
              <w:rPr>
                <w:rFonts w:hint="eastAsia"/>
                <w:lang w:val="en-US" w:eastAsia="zh-CN"/>
              </w:rPr>
              <w:t>1100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675" w:type="dxa"/>
            <w:tcBorders>
              <w:tl2br w:val="nil"/>
              <w:tr2bl w:val="nil"/>
            </w:tcBorders>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60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rPr>
              <w:t>档案目录夹</w:t>
            </w:r>
          </w:p>
        </w:tc>
        <w:tc>
          <w:tcPr>
            <w:tcW w:w="199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val="en-US" w:eastAsia="zh-CN"/>
              </w:rPr>
              <w:t>220×2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×310</w:t>
            </w:r>
          </w:p>
        </w:tc>
        <w:tc>
          <w:tcPr>
            <w:tcW w:w="3185"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p>
        </w:tc>
        <w:tc>
          <w:tcPr>
            <w:tcW w:w="988"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val="en-US" w:eastAsia="zh-CN"/>
              </w:rPr>
              <w:t>个</w:t>
            </w:r>
          </w:p>
        </w:tc>
        <w:tc>
          <w:tcPr>
            <w:tcW w:w="826" w:type="dxa"/>
            <w:tcBorders>
              <w:tl2br w:val="nil"/>
              <w:tr2bl w:val="nil"/>
            </w:tcBorders>
            <w:vAlign w:val="center"/>
          </w:tcPr>
          <w:p>
            <w:pPr>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4240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9276" w:type="dxa"/>
            <w:gridSpan w:val="6"/>
            <w:tcBorders>
              <w:tl2br w:val="nil"/>
              <w:tr2bl w:val="nil"/>
            </w:tcBorders>
            <w:vAlign w:val="center"/>
          </w:tcPr>
          <w:p>
            <w:pPr>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备注：各种规格档案盒的具体采购数量按实际使用情况作调整。</w:t>
            </w:r>
          </w:p>
        </w:tc>
      </w:tr>
    </w:tbl>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lang w:eastAsia="zh-CN"/>
        </w:rPr>
        <w:t>质量要求</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kern w:val="2"/>
          <w:sz w:val="21"/>
          <w:szCs w:val="21"/>
          <w:highlight w:val="none"/>
          <w:lang w:eastAsia="zh-CN"/>
        </w:rPr>
        <w:t>成交供应商</w:t>
      </w:r>
      <w:r>
        <w:rPr>
          <w:rFonts w:hint="eastAsia" w:ascii="宋体" w:hAnsi="宋体" w:eastAsia="宋体" w:cs="宋体"/>
          <w:color w:val="auto"/>
          <w:kern w:val="2"/>
          <w:sz w:val="21"/>
          <w:szCs w:val="21"/>
          <w:highlight w:val="none"/>
        </w:rPr>
        <w:t>提供的档案</w:t>
      </w:r>
      <w:r>
        <w:rPr>
          <w:rFonts w:hint="eastAsia" w:ascii="宋体" w:hAnsi="宋体" w:eastAsia="宋体" w:cs="宋体"/>
          <w:color w:val="auto"/>
          <w:kern w:val="2"/>
          <w:sz w:val="21"/>
          <w:szCs w:val="21"/>
          <w:highlight w:val="none"/>
          <w:lang w:eastAsia="zh-CN"/>
        </w:rPr>
        <w:t>专用</w:t>
      </w:r>
      <w:r>
        <w:rPr>
          <w:rFonts w:hint="eastAsia" w:ascii="宋体" w:hAnsi="宋体" w:eastAsia="宋体" w:cs="宋体"/>
          <w:color w:val="auto"/>
          <w:kern w:val="2"/>
          <w:sz w:val="21"/>
          <w:szCs w:val="21"/>
          <w:highlight w:val="none"/>
        </w:rPr>
        <w:t>盒</w:t>
      </w:r>
      <w:r>
        <w:rPr>
          <w:rFonts w:hint="eastAsia" w:ascii="宋体" w:hAnsi="宋体" w:eastAsia="宋体" w:cs="宋体"/>
          <w:color w:val="auto"/>
          <w:kern w:val="2"/>
          <w:sz w:val="21"/>
          <w:szCs w:val="21"/>
          <w:highlight w:val="none"/>
          <w:lang w:eastAsia="zh-CN"/>
        </w:rPr>
        <w:t>需符合《中华人民共和国档案行业标准（</w:t>
      </w:r>
      <w:r>
        <w:rPr>
          <w:rFonts w:hint="eastAsia" w:ascii="宋体" w:hAnsi="宋体" w:eastAsia="宋体" w:cs="宋体"/>
          <w:color w:val="auto"/>
          <w:kern w:val="2"/>
          <w:sz w:val="21"/>
          <w:szCs w:val="21"/>
          <w:highlight w:val="none"/>
          <w:lang w:val="en-US" w:eastAsia="zh-CN"/>
        </w:rPr>
        <w:t>DA/T 22-2015</w:t>
      </w:r>
      <w:r>
        <w:rPr>
          <w:rFonts w:hint="eastAsia" w:ascii="宋体" w:hAnsi="宋体" w:eastAsia="宋体" w:cs="宋体"/>
          <w:color w:val="auto"/>
          <w:kern w:val="2"/>
          <w:sz w:val="21"/>
          <w:szCs w:val="21"/>
          <w:highlight w:val="none"/>
          <w:lang w:eastAsia="zh-CN"/>
        </w:rPr>
        <w:t>）》。</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提供的档案</w:t>
      </w:r>
      <w:r>
        <w:rPr>
          <w:rFonts w:hint="eastAsia" w:ascii="宋体" w:hAnsi="宋体" w:eastAsia="宋体" w:cs="宋体"/>
          <w:b w:val="0"/>
          <w:bCs w:val="0"/>
          <w:color w:val="auto"/>
          <w:sz w:val="21"/>
          <w:szCs w:val="21"/>
          <w:lang w:eastAsia="zh-CN"/>
        </w:rPr>
        <w:t>专用</w:t>
      </w:r>
      <w:r>
        <w:rPr>
          <w:rFonts w:hint="eastAsia" w:ascii="宋体" w:hAnsi="宋体" w:eastAsia="宋体" w:cs="宋体"/>
          <w:b w:val="0"/>
          <w:bCs w:val="0"/>
          <w:color w:val="auto"/>
          <w:sz w:val="21"/>
          <w:szCs w:val="21"/>
        </w:rPr>
        <w:t>盒需采用档案专用的</w:t>
      </w:r>
      <w:r>
        <w:rPr>
          <w:rFonts w:hint="eastAsia" w:ascii="宋体" w:hAnsi="宋体" w:eastAsia="宋体" w:cs="宋体"/>
          <w:b w:val="0"/>
          <w:bCs w:val="0"/>
          <w:color w:val="auto"/>
          <w:sz w:val="21"/>
          <w:szCs w:val="21"/>
          <w:lang w:val="en-US" w:eastAsia="zh-CN"/>
        </w:rPr>
        <w:t>无酸牛皮纸GB-PH8对裱</w:t>
      </w:r>
      <w:r>
        <w:rPr>
          <w:rFonts w:hint="eastAsia" w:ascii="宋体" w:hAnsi="宋体" w:eastAsia="宋体" w:cs="宋体"/>
          <w:b w:val="0"/>
          <w:bCs w:val="0"/>
          <w:color w:val="auto"/>
          <w:sz w:val="21"/>
          <w:szCs w:val="21"/>
        </w:rPr>
        <w:t>，具有防潮、防虫、防蛀、防变色等功能。</w:t>
      </w:r>
    </w:p>
    <w:p>
      <w:pPr>
        <w:pStyle w:val="5"/>
        <w:keepNext w:val="0"/>
        <w:keepLines w:val="0"/>
        <w:pageBreakBefore w:val="0"/>
        <w:widowControl w:val="0"/>
        <w:numPr>
          <w:ilvl w:val="0"/>
          <w:numId w:val="6"/>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kern w:val="2"/>
          <w:sz w:val="21"/>
          <w:szCs w:val="21"/>
          <w:highlight w:val="none"/>
          <w:lang w:eastAsia="zh-CN"/>
        </w:rPr>
        <w:t>成交供应商</w:t>
      </w:r>
      <w:r>
        <w:rPr>
          <w:rFonts w:hint="eastAsia" w:ascii="宋体" w:hAnsi="宋体" w:eastAsia="宋体" w:cs="宋体"/>
          <w:color w:val="auto"/>
          <w:kern w:val="2"/>
          <w:sz w:val="21"/>
          <w:szCs w:val="21"/>
          <w:highlight w:val="none"/>
        </w:rPr>
        <w:t>所提供的档案</w:t>
      </w:r>
      <w:r>
        <w:rPr>
          <w:rFonts w:hint="eastAsia" w:ascii="宋体" w:hAnsi="宋体" w:eastAsia="宋体" w:cs="宋体"/>
          <w:color w:val="auto"/>
          <w:kern w:val="2"/>
          <w:sz w:val="21"/>
          <w:szCs w:val="21"/>
          <w:highlight w:val="none"/>
          <w:lang w:eastAsia="zh-CN"/>
        </w:rPr>
        <w:t>专用</w:t>
      </w:r>
      <w:r>
        <w:rPr>
          <w:rFonts w:hint="eastAsia" w:ascii="宋体" w:hAnsi="宋体" w:eastAsia="宋体" w:cs="宋体"/>
          <w:color w:val="auto"/>
          <w:kern w:val="2"/>
          <w:sz w:val="21"/>
          <w:szCs w:val="21"/>
          <w:highlight w:val="none"/>
        </w:rPr>
        <w:t>盒不得出现厚薄不一、不平整、错位、接口粘不牢、空白面、尺寸不符、底宽不符、易破损等质量及印刷错误的问题。</w:t>
      </w:r>
    </w:p>
    <w:p>
      <w:pPr>
        <w:pStyle w:val="5"/>
        <w:numPr>
          <w:ilvl w:val="0"/>
          <w:numId w:val="5"/>
        </w:numPr>
        <w:tabs>
          <w:tab w:val="left" w:pos="426"/>
        </w:tabs>
        <w:adjustRightInd w:val="0"/>
        <w:snapToGrid w:val="0"/>
        <w:spacing w:line="360" w:lineRule="auto"/>
        <w:ind w:left="0" w:leftChars="0" w:firstLine="422" w:firstLineChars="20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货物要求</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供应商应提供已注册品牌原装、全新的、符合国家及用户提出的有关质量标准的货物。</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color w:val="auto"/>
          <w:kern w:val="2"/>
          <w:sz w:val="21"/>
          <w:szCs w:val="21"/>
          <w:lang w:bidi="ar"/>
        </w:rPr>
        <w:t>货物为原厂商未启封全新包装，具出厂合格证，序列号、包装箱号与出厂批号一致，并可追索查阅。所有随货物的附件必须齐全。</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Cs/>
          <w:snapToGrid w:val="0"/>
          <w:color w:val="auto"/>
          <w:sz w:val="21"/>
          <w:szCs w:val="21"/>
        </w:rPr>
        <w:t>所有货物在开箱检验时必须完好，无破损，配置与装箱单相符。数量、质量及性能不低于本需求书中提出的要求。</w:t>
      </w:r>
    </w:p>
    <w:p>
      <w:pPr>
        <w:pStyle w:val="5"/>
        <w:keepNext w:val="0"/>
        <w:keepLines w:val="0"/>
        <w:pageBreakBefore w:val="0"/>
        <w:widowControl w:val="0"/>
        <w:numPr>
          <w:ilvl w:val="0"/>
          <w:numId w:val="7"/>
        </w:numPr>
        <w:tabs>
          <w:tab w:val="left" w:pos="426"/>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color w:val="auto"/>
          <w:kern w:val="2"/>
          <w:sz w:val="21"/>
          <w:szCs w:val="21"/>
          <w:highlight w:val="none"/>
          <w:lang w:eastAsia="zh-CN"/>
        </w:rPr>
        <w:t>成交</w:t>
      </w:r>
      <w:r>
        <w:rPr>
          <w:rFonts w:hint="eastAsia" w:ascii="宋体" w:hAnsi="宋体" w:eastAsia="宋体" w:cs="宋体"/>
          <w:bCs/>
          <w:snapToGrid w:val="0"/>
          <w:color w:val="auto"/>
          <w:sz w:val="21"/>
          <w:szCs w:val="21"/>
        </w:rPr>
        <w:t>供应商在实际供货时，若被发现提供的货物未能达到磋商文件和响应文件中的有关要求，采购人有权拒绝验收</w:t>
      </w:r>
      <w:r>
        <w:rPr>
          <w:rFonts w:hint="eastAsia" w:ascii="宋体" w:hAnsi="宋体" w:eastAsia="宋体" w:cs="宋体"/>
          <w:bCs/>
          <w:snapToGrid w:val="0"/>
          <w:color w:val="auto"/>
          <w:sz w:val="21"/>
          <w:szCs w:val="21"/>
          <w:lang w:eastAsia="zh-CN"/>
        </w:rPr>
        <w:t>，并解除合同，同时追究</w:t>
      </w:r>
      <w:r>
        <w:rPr>
          <w:rFonts w:hint="eastAsia" w:ascii="宋体" w:hAnsi="宋体" w:eastAsia="宋体" w:cs="宋体"/>
          <w:color w:val="auto"/>
          <w:kern w:val="2"/>
          <w:sz w:val="21"/>
          <w:szCs w:val="21"/>
          <w:highlight w:val="none"/>
          <w:lang w:eastAsia="zh-CN"/>
        </w:rPr>
        <w:t>成交</w:t>
      </w:r>
      <w:r>
        <w:rPr>
          <w:rFonts w:hint="eastAsia" w:ascii="宋体" w:hAnsi="宋体" w:eastAsia="宋体" w:cs="宋体"/>
          <w:bCs/>
          <w:snapToGrid w:val="0"/>
          <w:color w:val="auto"/>
          <w:sz w:val="21"/>
          <w:szCs w:val="21"/>
          <w:lang w:eastAsia="zh-CN"/>
        </w:rPr>
        <w:t>供应商相应违约责任</w:t>
      </w:r>
      <w:r>
        <w:rPr>
          <w:rFonts w:hint="eastAsia" w:ascii="宋体" w:hAnsi="宋体" w:eastAsia="宋体" w:cs="宋体"/>
          <w:bCs/>
          <w:snapToGrid w:val="0"/>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商务要求</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包装、运输</w:t>
      </w:r>
      <w:r>
        <w:rPr>
          <w:rFonts w:hint="eastAsia" w:ascii="宋体" w:hAnsi="宋体" w:eastAsia="宋体" w:cs="宋体"/>
          <w:b/>
          <w:color w:val="auto"/>
          <w:sz w:val="21"/>
          <w:szCs w:val="21"/>
          <w:lang w:eastAsia="zh-CN"/>
        </w:rPr>
        <w:t>、保管</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eastAsia="zh-CN"/>
        </w:rPr>
        <w:t>成交供应商</w:t>
      </w:r>
      <w:r>
        <w:rPr>
          <w:rFonts w:hint="eastAsia" w:ascii="宋体" w:hAnsi="宋体" w:eastAsia="宋体" w:cs="宋体"/>
          <w:b w:val="0"/>
          <w:bCs/>
          <w:color w:val="auto"/>
          <w:sz w:val="21"/>
          <w:szCs w:val="21"/>
        </w:rPr>
        <w:t>应采用防污、防雨等相关措施对产品进行包装，确保产品在正常作业和装卸条件下安全无损地到达合同指定地点。包装方式的确定及包装费用均由成交供应商负责；由于不适当的包装而造成货物在运输过程中有任何损坏、丢失由成交供应商负责。</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送货时，产品应注明货物名称、型号、数量，以供采购人核对。</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包装应足以承受整个过程中的运输、转运、装卸、储存等，充分考虑到运输途中的各种情况（如暴露于恶劣气候等）和中山地区的气候特点，以及露天存放的需要。</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成交供应商按采购人要求，分批按时按量运送货物。</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包装费、运费已包含在总价内。</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w:t>
      </w:r>
      <w:r>
        <w:rPr>
          <w:rFonts w:hint="eastAsia" w:ascii="宋体" w:hAnsi="宋体" w:eastAsia="宋体" w:cs="宋体"/>
          <w:b w:val="0"/>
          <w:bCs/>
          <w:color w:val="auto"/>
          <w:sz w:val="21"/>
          <w:szCs w:val="21"/>
          <w:lang w:eastAsia="zh-CN"/>
        </w:rPr>
        <w:t>未提货前的</w:t>
      </w:r>
      <w:r>
        <w:rPr>
          <w:rFonts w:hint="eastAsia" w:ascii="宋体" w:hAnsi="宋体" w:eastAsia="宋体" w:cs="宋体"/>
          <w:b w:val="0"/>
          <w:bCs/>
          <w:color w:val="auto"/>
          <w:sz w:val="21"/>
          <w:szCs w:val="21"/>
        </w:rPr>
        <w:t>现场保管由成交供应商负责，直至项目</w:t>
      </w:r>
      <w:r>
        <w:rPr>
          <w:rFonts w:hint="eastAsia" w:ascii="宋体" w:hAnsi="宋体" w:eastAsia="宋体" w:cs="宋体"/>
          <w:b w:val="0"/>
          <w:bCs/>
          <w:color w:val="auto"/>
          <w:sz w:val="21"/>
          <w:szCs w:val="21"/>
          <w:lang w:val="en-US" w:eastAsia="zh-CN"/>
        </w:rPr>
        <w:t>交付、</w:t>
      </w:r>
      <w:r>
        <w:rPr>
          <w:rFonts w:hint="eastAsia" w:ascii="宋体" w:hAnsi="宋体" w:eastAsia="宋体" w:cs="宋体"/>
          <w:b w:val="0"/>
          <w:bCs/>
          <w:color w:val="auto"/>
          <w:sz w:val="21"/>
          <w:szCs w:val="21"/>
        </w:rPr>
        <w:t>验收完毕。</w:t>
      </w:r>
    </w:p>
    <w:p>
      <w:pPr>
        <w:pStyle w:val="5"/>
        <w:keepNext w:val="0"/>
        <w:keepLines w:val="0"/>
        <w:pageBreakBefore w:val="0"/>
        <w:widowControl w:val="0"/>
        <w:numPr>
          <w:ilvl w:val="0"/>
          <w:numId w:val="9"/>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货物在验收合格前的保险由成交供应商负责，成交供应商负责其派出的现场服务人员人身意外保险。</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交货时间和地点</w:t>
      </w:r>
    </w:p>
    <w:p>
      <w:pPr>
        <w:pStyle w:val="5"/>
        <w:keepNext w:val="0"/>
        <w:keepLines w:val="0"/>
        <w:pageBreakBefore w:val="0"/>
        <w:widowControl w:val="0"/>
        <w:numPr>
          <w:ilvl w:val="0"/>
          <w:numId w:val="1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交货时间：</w:t>
      </w:r>
      <w:r>
        <w:rPr>
          <w:rFonts w:hint="eastAsia" w:ascii="宋体" w:hAnsi="宋体" w:eastAsia="宋体" w:cs="宋体"/>
          <w:b w:val="0"/>
          <w:bCs/>
          <w:color w:val="auto"/>
          <w:sz w:val="21"/>
          <w:szCs w:val="21"/>
          <w:lang w:eastAsia="zh-CN"/>
        </w:rPr>
        <w:t>自</w:t>
      </w:r>
      <w:r>
        <w:rPr>
          <w:rFonts w:hint="eastAsia" w:ascii="宋体" w:hAnsi="宋体" w:eastAsia="宋体" w:cs="宋体"/>
          <w:b w:val="0"/>
          <w:bCs/>
          <w:color w:val="auto"/>
          <w:sz w:val="21"/>
          <w:szCs w:val="21"/>
        </w:rPr>
        <w:t>合同签订日起</w:t>
      </w:r>
      <w:r>
        <w:rPr>
          <w:rFonts w:hint="eastAsia" w:ascii="宋体" w:hAnsi="宋体" w:eastAsia="宋体" w:cs="宋体"/>
          <w:b w:val="0"/>
          <w:bCs/>
          <w:color w:val="auto"/>
          <w:sz w:val="21"/>
          <w:szCs w:val="21"/>
          <w:lang w:val="en-US" w:eastAsia="zh-CN"/>
        </w:rPr>
        <w:t>202</w:t>
      </w:r>
      <w:r>
        <w:rPr>
          <w:rFonts w:hint="eastAsia"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年12月10日</w:t>
      </w:r>
      <w:r>
        <w:rPr>
          <w:rFonts w:hint="eastAsia" w:hAnsi="宋体" w:cs="宋体"/>
          <w:b w:val="0"/>
          <w:bCs/>
          <w:color w:val="auto"/>
          <w:sz w:val="21"/>
          <w:szCs w:val="21"/>
          <w:lang w:val="en-US" w:eastAsia="zh-CN"/>
        </w:rPr>
        <w:t>前</w:t>
      </w:r>
      <w:r>
        <w:rPr>
          <w:rFonts w:hint="eastAsia" w:ascii="宋体" w:hAnsi="宋体" w:eastAsia="宋体" w:cs="宋体"/>
          <w:b w:val="0"/>
          <w:bCs/>
          <w:color w:val="auto"/>
          <w:sz w:val="21"/>
          <w:szCs w:val="21"/>
          <w:lang w:val="en-US" w:eastAsia="zh-CN"/>
        </w:rPr>
        <w:t>分批</w:t>
      </w:r>
      <w:r>
        <w:rPr>
          <w:rFonts w:hint="eastAsia" w:ascii="宋体" w:hAnsi="宋体" w:eastAsia="宋体" w:cs="宋体"/>
          <w:b w:val="0"/>
          <w:bCs/>
          <w:color w:val="auto"/>
          <w:sz w:val="21"/>
          <w:szCs w:val="21"/>
          <w:lang w:eastAsia="zh-CN"/>
        </w:rPr>
        <w:t>送货</w:t>
      </w:r>
      <w:r>
        <w:rPr>
          <w:rFonts w:hint="eastAsia" w:ascii="宋体" w:hAnsi="宋体" w:eastAsia="宋体" w:cs="宋体"/>
          <w:b w:val="0"/>
          <w:bCs/>
          <w:color w:val="auto"/>
          <w:sz w:val="21"/>
          <w:szCs w:val="21"/>
        </w:rPr>
        <w:t>和验收。</w:t>
      </w:r>
    </w:p>
    <w:p>
      <w:pPr>
        <w:pStyle w:val="5"/>
        <w:keepNext w:val="0"/>
        <w:keepLines w:val="0"/>
        <w:pageBreakBefore w:val="0"/>
        <w:widowControl w:val="0"/>
        <w:numPr>
          <w:ilvl w:val="0"/>
          <w:numId w:val="1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交货地点：</w:t>
      </w:r>
      <w:r>
        <w:rPr>
          <w:rFonts w:hint="eastAsia" w:ascii="宋体" w:hAnsi="宋体" w:eastAsia="宋体" w:cs="宋体"/>
          <w:b w:val="0"/>
          <w:bCs/>
          <w:color w:val="auto"/>
          <w:sz w:val="21"/>
          <w:szCs w:val="21"/>
          <w:lang w:eastAsia="zh-CN"/>
        </w:rPr>
        <w:t>中山市社会保险基金管理局</w:t>
      </w:r>
      <w:r>
        <w:rPr>
          <w:rFonts w:hint="eastAsia" w:ascii="宋体" w:hAnsi="宋体" w:eastAsia="宋体" w:cs="宋体"/>
          <w:b w:val="0"/>
          <w:bCs/>
          <w:color w:val="auto"/>
          <w:sz w:val="21"/>
          <w:szCs w:val="21"/>
        </w:rPr>
        <w:t>指定地点。</w:t>
      </w:r>
    </w:p>
    <w:p>
      <w:pPr>
        <w:pStyle w:val="5"/>
        <w:numPr>
          <w:ilvl w:val="0"/>
          <w:numId w:val="8"/>
        </w:numPr>
        <w:tabs>
          <w:tab w:val="left" w:pos="540"/>
        </w:tabs>
        <w:adjustRightInd w:val="0"/>
        <w:snapToGrid w:val="0"/>
        <w:spacing w:line="360" w:lineRule="auto"/>
        <w:ind w:left="0" w:lef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质量保证及售后服务</w:t>
      </w:r>
    </w:p>
    <w:p>
      <w:pPr>
        <w:pStyle w:val="5"/>
        <w:keepNext w:val="0"/>
        <w:keepLines w:val="0"/>
        <w:pageBreakBefore w:val="0"/>
        <w:widowControl w:val="0"/>
        <w:numPr>
          <w:ilvl w:val="0"/>
          <w:numId w:val="11"/>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必须提供目前市场上技术较先进、成熟的原装、全新产品，并且符合国家以及该产品的出厂标准。</w:t>
      </w:r>
    </w:p>
    <w:p>
      <w:pPr>
        <w:pStyle w:val="5"/>
        <w:keepNext w:val="0"/>
        <w:keepLines w:val="0"/>
        <w:pageBreakBefore w:val="0"/>
        <w:widowControl w:val="0"/>
        <w:numPr>
          <w:ilvl w:val="0"/>
          <w:numId w:val="11"/>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售后服务要求：免费上门</w:t>
      </w:r>
      <w:r>
        <w:rPr>
          <w:rFonts w:hint="eastAsia" w:ascii="宋体" w:hAnsi="宋体" w:eastAsia="宋体" w:cs="宋体"/>
          <w:b w:val="0"/>
          <w:bCs/>
          <w:color w:val="auto"/>
          <w:sz w:val="21"/>
          <w:szCs w:val="21"/>
          <w:lang w:eastAsia="zh-CN"/>
        </w:rPr>
        <w:t>，免费更换破损、异味及其他有质量问题的档案耗材，免费提供档案耗材的有关售后服务</w:t>
      </w:r>
      <w:r>
        <w:rPr>
          <w:rFonts w:hint="eastAsia" w:ascii="宋体" w:hAnsi="宋体" w:eastAsia="宋体" w:cs="宋体"/>
          <w:b w:val="0"/>
          <w:bCs/>
          <w:color w:val="auto"/>
          <w:sz w:val="21"/>
          <w:szCs w:val="21"/>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样品要求</w:t>
      </w:r>
    </w:p>
    <w:p>
      <w:pPr>
        <w:keepNext w:val="0"/>
        <w:keepLines w:val="0"/>
        <w:pageBreakBefore w:val="0"/>
        <w:widowControl w:val="0"/>
        <w:numPr>
          <w:ilvl w:val="0"/>
          <w:numId w:val="12"/>
        </w:numPr>
        <w:tabs>
          <w:tab w:val="left" w:pos="36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eastAsia="zh-CN"/>
        </w:rPr>
        <w:t>响应样品</w:t>
      </w:r>
      <w:r>
        <w:rPr>
          <w:rFonts w:hint="eastAsia" w:ascii="宋体" w:hAnsi="宋体" w:eastAsia="宋体" w:cs="宋体"/>
          <w:color w:val="auto"/>
          <w:kern w:val="0"/>
          <w:sz w:val="21"/>
          <w:szCs w:val="21"/>
          <w:lang w:eastAsia="zh-CN"/>
        </w:rPr>
        <w:t>：响应供应商须在磋商当天提供</w:t>
      </w:r>
      <w:r>
        <w:rPr>
          <w:rFonts w:hint="eastAsia" w:ascii="宋体" w:hAnsi="宋体" w:eastAsia="宋体" w:cs="宋体"/>
          <w:color w:val="auto"/>
          <w:kern w:val="0"/>
          <w:sz w:val="21"/>
          <w:szCs w:val="21"/>
          <w:lang w:val="en-US" w:eastAsia="zh-CN"/>
        </w:rPr>
        <w:t>成品</w:t>
      </w:r>
      <w:r>
        <w:rPr>
          <w:rFonts w:hint="eastAsia" w:ascii="宋体" w:hAnsi="宋体" w:eastAsia="宋体" w:cs="宋体"/>
          <w:b/>
          <w:bCs/>
          <w:color w:val="auto"/>
          <w:kern w:val="0"/>
          <w:sz w:val="21"/>
          <w:szCs w:val="21"/>
          <w:u w:val="single"/>
          <w:lang w:eastAsia="zh-CN"/>
        </w:rPr>
        <w:t>档案专用盒</w:t>
      </w:r>
      <w:r>
        <w:rPr>
          <w:rFonts w:hint="eastAsia" w:ascii="宋体" w:hAnsi="宋体" w:eastAsia="宋体" w:cs="宋体"/>
          <w:color w:val="auto"/>
          <w:kern w:val="0"/>
          <w:sz w:val="21"/>
          <w:szCs w:val="21"/>
          <w:lang w:eastAsia="zh-CN"/>
        </w:rPr>
        <w:t>一份，</w:t>
      </w:r>
      <w:r>
        <w:rPr>
          <w:rFonts w:hint="eastAsia" w:ascii="宋体" w:hAnsi="宋体" w:eastAsia="宋体" w:cs="宋体"/>
          <w:color w:val="auto"/>
          <w:kern w:val="0"/>
          <w:sz w:val="21"/>
          <w:szCs w:val="21"/>
        </w:rPr>
        <w:t>样品必须与响应文件分开，样品必须按照第六章中格式《</w:t>
      </w:r>
      <w:r>
        <w:rPr>
          <w:rFonts w:hint="eastAsia" w:ascii="宋体" w:hAnsi="宋体" w:eastAsia="宋体" w:cs="宋体"/>
          <w:color w:val="auto"/>
          <w:kern w:val="0"/>
          <w:sz w:val="21"/>
          <w:szCs w:val="21"/>
          <w:lang w:eastAsia="zh-CN"/>
        </w:rPr>
        <w:t>响应</w:t>
      </w:r>
      <w:r>
        <w:rPr>
          <w:rFonts w:hint="eastAsia" w:ascii="宋体" w:hAnsi="宋体" w:eastAsia="宋体" w:cs="宋体"/>
          <w:color w:val="auto"/>
          <w:kern w:val="0"/>
          <w:sz w:val="21"/>
          <w:szCs w:val="21"/>
        </w:rPr>
        <w:t>样品清单》标识清楚</w:t>
      </w:r>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lang w:eastAsia="zh-CN"/>
        </w:rPr>
        <w:t>详细注明响应供应商名称、样品名称并加盖公章</w:t>
      </w:r>
      <w:r>
        <w:rPr>
          <w:rFonts w:hint="eastAsia" w:ascii="宋体" w:hAnsi="宋体" w:eastAsia="宋体" w:cs="宋体"/>
          <w:color w:val="auto"/>
          <w:kern w:val="0"/>
          <w:sz w:val="21"/>
          <w:szCs w:val="21"/>
          <w:lang w:eastAsia="zh-CN"/>
        </w:rPr>
        <w:t>，于磋商截止时间前与响应文件一起递交，否则，采购人、采购代理机构应当拒收。响应样品作为对于响应文件中文字内容的补充，及为磋商小组及采购人对采购项目的质量了解、评审</w:t>
      </w:r>
      <w:r>
        <w:rPr>
          <w:rFonts w:hint="eastAsia" w:ascii="宋体" w:hAnsi="宋体" w:eastAsia="宋体" w:cs="宋体"/>
          <w:color w:val="auto"/>
          <w:kern w:val="0"/>
          <w:sz w:val="21"/>
          <w:szCs w:val="21"/>
          <w:lang w:val="en-US" w:eastAsia="zh-CN"/>
        </w:rPr>
        <w:t>和</w:t>
      </w:r>
      <w:r>
        <w:rPr>
          <w:rFonts w:hint="eastAsia" w:ascii="宋体" w:hAnsi="宋体" w:eastAsia="宋体" w:cs="宋体"/>
          <w:color w:val="auto"/>
          <w:kern w:val="0"/>
          <w:sz w:val="21"/>
          <w:szCs w:val="21"/>
          <w:lang w:eastAsia="zh-CN"/>
        </w:rPr>
        <w:t>采购人验收合同的依据之一。响应供应商样品品质不得低于采购人用户需求技术规格，允许正偏离。</w:t>
      </w:r>
      <w:r>
        <w:rPr>
          <w:rFonts w:hint="eastAsia" w:ascii="宋体" w:hAnsi="宋体" w:eastAsia="宋体" w:cs="宋体"/>
          <w:color w:val="auto"/>
          <w:kern w:val="0"/>
          <w:sz w:val="21"/>
          <w:szCs w:val="21"/>
          <w:lang w:val="en-US" w:eastAsia="zh-CN"/>
        </w:rPr>
        <w:t>未提供</w:t>
      </w:r>
      <w:r>
        <w:rPr>
          <w:rFonts w:hint="eastAsia" w:ascii="宋体" w:hAnsi="宋体" w:eastAsia="宋体" w:cs="宋体"/>
          <w:color w:val="auto"/>
          <w:kern w:val="0"/>
          <w:sz w:val="21"/>
          <w:szCs w:val="21"/>
          <w:lang w:eastAsia="zh-CN"/>
        </w:rPr>
        <w:t>样品</w:t>
      </w:r>
      <w:r>
        <w:rPr>
          <w:rFonts w:hint="eastAsia" w:ascii="宋体" w:hAnsi="宋体" w:eastAsia="宋体" w:cs="宋体"/>
          <w:color w:val="auto"/>
          <w:kern w:val="0"/>
          <w:sz w:val="21"/>
          <w:szCs w:val="21"/>
          <w:lang w:val="en-US" w:eastAsia="zh-CN"/>
        </w:rPr>
        <w:t>不得分。</w:t>
      </w:r>
    </w:p>
    <w:p>
      <w:pPr>
        <w:keepNext w:val="0"/>
        <w:keepLines w:val="0"/>
        <w:pageBreakBefore w:val="0"/>
        <w:widowControl w:val="0"/>
        <w:numPr>
          <w:ilvl w:val="0"/>
          <w:numId w:val="12"/>
        </w:numPr>
        <w:tabs>
          <w:tab w:val="left" w:pos="36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eastAsia="zh-CN"/>
        </w:rPr>
        <w:t>响应样品的处理</w:t>
      </w:r>
      <w:r>
        <w:rPr>
          <w:rFonts w:hint="eastAsia" w:ascii="宋体" w:hAnsi="宋体" w:eastAsia="宋体" w:cs="宋体"/>
          <w:color w:val="auto"/>
          <w:kern w:val="0"/>
          <w:sz w:val="21"/>
          <w:szCs w:val="21"/>
        </w:rPr>
        <w:t>：未</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供应商</w:t>
      </w:r>
      <w:r>
        <w:rPr>
          <w:rFonts w:hint="eastAsia" w:ascii="宋体" w:hAnsi="宋体" w:eastAsia="宋体" w:cs="宋体"/>
          <w:b/>
          <w:bCs/>
          <w:color w:val="auto"/>
          <w:kern w:val="0"/>
          <w:sz w:val="21"/>
          <w:szCs w:val="21"/>
          <w:lang w:eastAsia="zh-CN"/>
        </w:rPr>
        <w:t>样品</w:t>
      </w:r>
      <w:r>
        <w:rPr>
          <w:rFonts w:hint="eastAsia" w:ascii="宋体" w:hAnsi="宋体" w:eastAsia="宋体" w:cs="宋体"/>
          <w:color w:val="auto"/>
          <w:kern w:val="0"/>
          <w:sz w:val="21"/>
          <w:szCs w:val="21"/>
          <w:lang w:eastAsia="zh-CN"/>
        </w:rPr>
        <w:t>不予退回</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成交</w:t>
      </w:r>
      <w:r>
        <w:rPr>
          <w:rFonts w:hint="eastAsia" w:ascii="宋体" w:hAnsi="宋体" w:eastAsia="宋体" w:cs="宋体"/>
          <w:color w:val="auto"/>
          <w:kern w:val="0"/>
          <w:sz w:val="21"/>
          <w:szCs w:val="21"/>
        </w:rPr>
        <w:t>供应商所提供</w:t>
      </w:r>
      <w:r>
        <w:rPr>
          <w:rFonts w:hint="eastAsia" w:ascii="宋体" w:hAnsi="宋体" w:eastAsia="宋体" w:cs="宋体"/>
          <w:b/>
          <w:bCs/>
          <w:color w:val="auto"/>
          <w:kern w:val="0"/>
          <w:sz w:val="21"/>
          <w:szCs w:val="21"/>
          <w:lang w:eastAsia="zh-CN"/>
        </w:rPr>
        <w:t>样品</w:t>
      </w:r>
      <w:r>
        <w:rPr>
          <w:rFonts w:hint="eastAsia" w:ascii="宋体" w:hAnsi="宋体" w:eastAsia="宋体" w:cs="宋体"/>
          <w:color w:val="auto"/>
          <w:kern w:val="0"/>
          <w:sz w:val="21"/>
          <w:szCs w:val="21"/>
        </w:rPr>
        <w:t>交由采购人留存</w:t>
      </w:r>
      <w:r>
        <w:rPr>
          <w:rFonts w:hint="eastAsia" w:ascii="宋体" w:hAnsi="宋体" w:eastAsia="宋体" w:cs="宋体"/>
          <w:color w:val="auto"/>
          <w:kern w:val="0"/>
          <w:sz w:val="21"/>
          <w:szCs w:val="21"/>
          <w:lang w:eastAsia="zh-CN"/>
        </w:rPr>
        <w:t>（不作退还）</w:t>
      </w:r>
      <w:r>
        <w:rPr>
          <w:rFonts w:hint="eastAsia" w:ascii="宋体" w:hAnsi="宋体" w:eastAsia="宋体" w:cs="宋体"/>
          <w:color w:val="auto"/>
          <w:kern w:val="0"/>
          <w:sz w:val="21"/>
          <w:szCs w:val="21"/>
        </w:rPr>
        <w:t>，并将作为验收的依据之一</w:t>
      </w:r>
      <w:r>
        <w:rPr>
          <w:rFonts w:hint="eastAsia" w:ascii="宋体" w:hAnsi="宋体" w:eastAsia="宋体" w:cs="宋体"/>
          <w:color w:val="auto"/>
          <w:kern w:val="0"/>
          <w:sz w:val="21"/>
          <w:szCs w:val="21"/>
          <w:lang w:eastAsia="zh-CN"/>
        </w:rPr>
        <w:t>。</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付款方式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收到货物后经采购方抽检</w:t>
      </w:r>
      <w:r>
        <w:rPr>
          <w:rFonts w:hint="eastAsia" w:ascii="宋体" w:hAnsi="宋体" w:eastAsia="宋体" w:cs="宋体"/>
          <w:color w:val="auto"/>
          <w:sz w:val="21"/>
          <w:szCs w:val="21"/>
        </w:rPr>
        <w:t>合格后，按财务有关流程规定，</w:t>
      </w:r>
      <w:r>
        <w:rPr>
          <w:rFonts w:hint="eastAsia" w:ascii="宋体" w:hAnsi="宋体" w:eastAsia="宋体" w:cs="宋体"/>
          <w:color w:val="auto"/>
          <w:sz w:val="21"/>
          <w:szCs w:val="21"/>
          <w:lang w:eastAsia="zh-CN"/>
        </w:rPr>
        <w:t>分批</w:t>
      </w:r>
      <w:r>
        <w:rPr>
          <w:rFonts w:hint="eastAsia" w:ascii="宋体" w:hAnsi="宋体" w:eastAsia="宋体" w:cs="宋体"/>
          <w:color w:val="auto"/>
          <w:sz w:val="21"/>
          <w:szCs w:val="21"/>
        </w:rPr>
        <w:t>付款至合同价的100%。</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验收方式</w:t>
      </w:r>
    </w:p>
    <w:p>
      <w:pPr>
        <w:pStyle w:val="5"/>
        <w:keepNext w:val="0"/>
        <w:keepLines w:val="0"/>
        <w:pageBreakBefore w:val="0"/>
        <w:widowControl w:val="0"/>
        <w:numPr>
          <w:ilvl w:val="0"/>
          <w:numId w:val="0"/>
        </w:numPr>
        <w:tabs>
          <w:tab w:val="left" w:pos="426"/>
        </w:tabs>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在接收货物时，若所送档案盒及其他用品不符合质量要求及标准，采购人有权拒绝收货，</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须在</w:t>
      </w: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rPr>
        <w:t>天内予以更换，所产生的一切费用由</w:t>
      </w:r>
      <w:r>
        <w:rPr>
          <w:rFonts w:hint="eastAsia" w:ascii="宋体" w:hAnsi="宋体" w:eastAsia="宋体" w:cs="宋体"/>
          <w:b w:val="0"/>
          <w:bCs w:val="0"/>
          <w:color w:val="auto"/>
          <w:sz w:val="21"/>
          <w:szCs w:val="21"/>
          <w:lang w:eastAsia="zh-CN"/>
        </w:rPr>
        <w:t>成交供应商</w:t>
      </w:r>
      <w:r>
        <w:rPr>
          <w:rFonts w:hint="eastAsia" w:ascii="宋体" w:hAnsi="宋体" w:eastAsia="宋体" w:cs="宋体"/>
          <w:b w:val="0"/>
          <w:bCs w:val="0"/>
          <w:color w:val="auto"/>
          <w:sz w:val="21"/>
          <w:szCs w:val="21"/>
        </w:rPr>
        <w:t>承担。</w:t>
      </w:r>
    </w:p>
    <w:p>
      <w:pPr>
        <w:pStyle w:val="5"/>
        <w:numPr>
          <w:ilvl w:val="0"/>
          <w:numId w:val="3"/>
        </w:numPr>
        <w:tabs>
          <w:tab w:val="left" w:pos="426"/>
          <w:tab w:val="clear" w:pos="420"/>
        </w:tabs>
        <w:adjustRightInd w:val="0"/>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采购人配合条件</w:t>
      </w:r>
    </w:p>
    <w:p>
      <w:pPr>
        <w:ind w:firstLine="420" w:firstLineChars="200"/>
        <w:rPr>
          <w:color w:val="auto"/>
        </w:rPr>
      </w:pPr>
      <w:r>
        <w:rPr>
          <w:rFonts w:hint="eastAsia" w:ascii="宋体" w:hAnsi="宋体" w:eastAsia="宋体" w:cs="宋体"/>
          <w:color w:val="auto"/>
          <w:sz w:val="21"/>
          <w:szCs w:val="21"/>
        </w:rPr>
        <w:t>供应商在</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文件中要列明在项目实施过程中要求采购人提供的配合条件。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301D3"/>
    <w:multiLevelType w:val="singleLevel"/>
    <w:tmpl w:val="90E301D3"/>
    <w:lvl w:ilvl="0" w:tentative="0">
      <w:start w:val="1"/>
      <w:numFmt w:val="decimal"/>
      <w:lvlText w:val="(%1)"/>
      <w:lvlJc w:val="left"/>
      <w:pPr>
        <w:ind w:left="425" w:hanging="425"/>
      </w:pPr>
      <w:rPr>
        <w:rFonts w:hint="default"/>
        <w:b w:val="0"/>
        <w:bCs w:val="0"/>
      </w:rPr>
    </w:lvl>
  </w:abstractNum>
  <w:abstractNum w:abstractNumId="1">
    <w:nsid w:val="C1267DC1"/>
    <w:multiLevelType w:val="singleLevel"/>
    <w:tmpl w:val="C1267DC1"/>
    <w:lvl w:ilvl="0" w:tentative="0">
      <w:start w:val="1"/>
      <w:numFmt w:val="decimal"/>
      <w:suff w:val="nothing"/>
      <w:lvlText w:val="%1．"/>
      <w:lvlJc w:val="left"/>
      <w:pPr>
        <w:ind w:left="0" w:firstLine="400"/>
      </w:pPr>
      <w:rPr>
        <w:rFonts w:hint="default"/>
      </w:rPr>
    </w:lvl>
  </w:abstractNum>
  <w:abstractNum w:abstractNumId="2">
    <w:nsid w:val="DC657366"/>
    <w:multiLevelType w:val="singleLevel"/>
    <w:tmpl w:val="DC657366"/>
    <w:lvl w:ilvl="0" w:tentative="0">
      <w:start w:val="1"/>
      <w:numFmt w:val="decimal"/>
      <w:suff w:val="nothing"/>
      <w:lvlText w:val="%1．"/>
      <w:lvlJc w:val="left"/>
      <w:pPr>
        <w:ind w:left="0" w:firstLine="400"/>
      </w:pPr>
      <w:rPr>
        <w:rFonts w:hint="default"/>
      </w:rPr>
    </w:lvl>
  </w:abstractNum>
  <w:abstractNum w:abstractNumId="3">
    <w:nsid w:val="E5568B0F"/>
    <w:multiLevelType w:val="singleLevel"/>
    <w:tmpl w:val="E5568B0F"/>
    <w:lvl w:ilvl="0" w:tentative="0">
      <w:start w:val="1"/>
      <w:numFmt w:val="decimal"/>
      <w:lvlText w:val="(%1)"/>
      <w:lvlJc w:val="left"/>
      <w:pPr>
        <w:ind w:left="425" w:hanging="425"/>
      </w:pPr>
      <w:rPr>
        <w:rFonts w:hint="default"/>
        <w:b w:val="0"/>
        <w:bCs w:val="0"/>
      </w:rPr>
    </w:lvl>
  </w:abstractNum>
  <w:abstractNum w:abstractNumId="4">
    <w:nsid w:val="EB83BC35"/>
    <w:multiLevelType w:val="singleLevel"/>
    <w:tmpl w:val="EB83BC35"/>
    <w:lvl w:ilvl="0" w:tentative="0">
      <w:start w:val="1"/>
      <w:numFmt w:val="decimal"/>
      <w:lvlText w:val="(%1)"/>
      <w:lvlJc w:val="left"/>
      <w:pPr>
        <w:ind w:left="425" w:hanging="425"/>
      </w:pPr>
      <w:rPr>
        <w:rFonts w:hint="default"/>
        <w:b w:val="0"/>
        <w:bCs w:val="0"/>
      </w:rPr>
    </w:lvl>
  </w:abstractNum>
  <w:abstractNum w:abstractNumId="5">
    <w:nsid w:val="00000035"/>
    <w:multiLevelType w:val="multilevel"/>
    <w:tmpl w:val="00000035"/>
    <w:lvl w:ilvl="0" w:tentative="0">
      <w:start w:val="1"/>
      <w:numFmt w:val="japaneseCounting"/>
      <w:lvlText w:val="%1、"/>
      <w:lvlJc w:val="left"/>
      <w:pPr>
        <w:tabs>
          <w:tab w:val="left" w:pos="420"/>
        </w:tabs>
        <w:ind w:left="420" w:hanging="420"/>
      </w:pPr>
      <w:rPr>
        <w:rFonts w:hint="eastAsia" w:ascii="宋体" w:hAnsi="宋体" w:eastAsia="宋体" w:cs="Courier New"/>
        <w:b/>
        <w:bCs/>
        <w:sz w:val="21"/>
        <w:szCs w:val="21"/>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0939DC"/>
    <w:multiLevelType w:val="singleLevel"/>
    <w:tmpl w:val="100939DC"/>
    <w:lvl w:ilvl="0" w:tentative="0">
      <w:start w:val="1"/>
      <w:numFmt w:val="decimal"/>
      <w:suff w:val="nothing"/>
      <w:lvlText w:val="%1．"/>
      <w:lvlJc w:val="left"/>
      <w:pPr>
        <w:ind w:left="0" w:firstLine="400"/>
      </w:pPr>
      <w:rPr>
        <w:rFonts w:hint="default"/>
        <w:b/>
        <w:bCs/>
      </w:rPr>
    </w:lvl>
  </w:abstractNum>
  <w:abstractNum w:abstractNumId="7">
    <w:nsid w:val="13FB23FC"/>
    <w:multiLevelType w:val="singleLevel"/>
    <w:tmpl w:val="13FB23FC"/>
    <w:lvl w:ilvl="0" w:tentative="0">
      <w:start w:val="1"/>
      <w:numFmt w:val="decimal"/>
      <w:lvlText w:val="(%1)"/>
      <w:lvlJc w:val="left"/>
      <w:pPr>
        <w:ind w:left="425" w:hanging="425"/>
      </w:pPr>
      <w:rPr>
        <w:rFonts w:hint="default"/>
        <w:b w:val="0"/>
        <w:bCs w:val="0"/>
      </w:rPr>
    </w:lvl>
  </w:abstractNum>
  <w:abstractNum w:abstractNumId="8">
    <w:nsid w:val="1AE618A6"/>
    <w:multiLevelType w:val="multilevel"/>
    <w:tmpl w:val="1AE618A6"/>
    <w:lvl w:ilvl="0" w:tentative="0">
      <w:start w:val="1"/>
      <w:numFmt w:val="chineseCountingThousand"/>
      <w:lvlText w:val="第%1章"/>
      <w:lvlJc w:val="left"/>
      <w:pPr>
        <w:ind w:left="420" w:hanging="420"/>
      </w:pPr>
      <w:rPr>
        <w:rFonts w:hint="eastAsia"/>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D924FE"/>
    <w:multiLevelType w:val="singleLevel"/>
    <w:tmpl w:val="2BD924FE"/>
    <w:lvl w:ilvl="0" w:tentative="0">
      <w:start w:val="1"/>
      <w:numFmt w:val="decimal"/>
      <w:lvlText w:val="(%1)"/>
      <w:lvlJc w:val="left"/>
      <w:pPr>
        <w:ind w:left="425" w:hanging="425"/>
      </w:pPr>
      <w:rPr>
        <w:rFonts w:hint="default"/>
        <w:b w:val="0"/>
        <w:bCs w:val="0"/>
      </w:rPr>
    </w:lvl>
  </w:abstractNum>
  <w:abstractNum w:abstractNumId="10">
    <w:nsid w:val="305BA181"/>
    <w:multiLevelType w:val="singleLevel"/>
    <w:tmpl w:val="305BA181"/>
    <w:lvl w:ilvl="0" w:tentative="0">
      <w:start w:val="1"/>
      <w:numFmt w:val="decimal"/>
      <w:suff w:val="nothing"/>
      <w:lvlText w:val="%1．"/>
      <w:lvlJc w:val="left"/>
      <w:pPr>
        <w:ind w:left="0" w:firstLine="400"/>
      </w:pPr>
      <w:rPr>
        <w:rFonts w:hint="default"/>
        <w:b w:val="0"/>
        <w:bCs w:val="0"/>
      </w:rPr>
    </w:lvl>
  </w:abstractNum>
  <w:abstractNum w:abstractNumId="11">
    <w:nsid w:val="756C9BF4"/>
    <w:multiLevelType w:val="singleLevel"/>
    <w:tmpl w:val="756C9BF4"/>
    <w:lvl w:ilvl="0" w:tentative="0">
      <w:start w:val="1"/>
      <w:numFmt w:val="decimal"/>
      <w:suff w:val="nothing"/>
      <w:lvlText w:val="%1．"/>
      <w:lvlJc w:val="left"/>
      <w:pPr>
        <w:ind w:left="0" w:firstLine="400"/>
      </w:pPr>
      <w:rPr>
        <w:rFonts w:hint="default"/>
      </w:rPr>
    </w:lvl>
  </w:abstractNum>
  <w:num w:numId="1">
    <w:abstractNumId w:val="8"/>
  </w:num>
  <w:num w:numId="2">
    <w:abstractNumId w:val="1"/>
  </w:num>
  <w:num w:numId="3">
    <w:abstractNumId w:val="5"/>
  </w:num>
  <w:num w:numId="4">
    <w:abstractNumId w:val="2"/>
  </w:num>
  <w:num w:numId="5">
    <w:abstractNumId w:val="6"/>
  </w:num>
  <w:num w:numId="6">
    <w:abstractNumId w:val="0"/>
  </w:num>
  <w:num w:numId="7">
    <w:abstractNumId w:val="7"/>
  </w:num>
  <w:num w:numId="8">
    <w:abstractNumId w:val="11"/>
  </w:num>
  <w:num w:numId="9">
    <w:abstractNumId w:val="4"/>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74C8A"/>
    <w:rsid w:val="20CF6F73"/>
    <w:rsid w:val="30CA59AF"/>
    <w:rsid w:val="31220D62"/>
    <w:rsid w:val="70022A42"/>
    <w:rsid w:val="71085ED6"/>
    <w:rsid w:val="7A85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pPr>
    <w:rPr>
      <w:kern w:val="0"/>
      <w:sz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annotation text"/>
    <w:basedOn w:val="1"/>
    <w:qFormat/>
    <w:uiPriority w:val="0"/>
    <w:pPr>
      <w:jc w:val="left"/>
    </w:pPr>
    <w:rPr>
      <w:kern w:val="0"/>
      <w:sz w:val="24"/>
    </w:rPr>
  </w:style>
  <w:style w:type="paragraph" w:styleId="5">
    <w:name w:val="Plain Text"/>
    <w:basedOn w:val="1"/>
    <w:uiPriority w:val="0"/>
    <w:rPr>
      <w:rFonts w:ascii="宋体" w:hAnsi="Courier New"/>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黄慧捷</cp:lastModifiedBy>
  <dcterms:modified xsi:type="dcterms:W3CDTF">2025-10-10T01:07:54Z</dcterms:modified>
  <dc:title>用户需求书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519D617F241F4A5FB22D134DFAFE104E</vt:lpwstr>
  </property>
</Properties>
</file>