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before="156" w:beforeLines="50" w:after="156" w:afterLines="50" w:line="360" w:lineRule="auto"/>
        <w:jc w:val="center"/>
        <w:outlineLvl w:val="0"/>
        <w:rPr>
          <w:rFonts w:hint="eastAsia"/>
          <w:b/>
          <w:bCs/>
          <w:color w:val="auto"/>
          <w:sz w:val="28"/>
          <w:szCs w:val="28"/>
        </w:rPr>
      </w:pPr>
      <w:bookmarkStart w:id="0" w:name="_Toc22852"/>
      <w:r>
        <w:rPr>
          <w:rFonts w:hint="eastAsia"/>
          <w:b/>
          <w:bCs/>
          <w:color w:val="auto"/>
          <w:sz w:val="28"/>
          <w:szCs w:val="28"/>
        </w:rPr>
        <w:t>用户需求书</w:t>
      </w:r>
      <w:bookmarkEnd w:id="0"/>
    </w:p>
    <w:p>
      <w:pPr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供应商须对本项目为单位的采购标的进行整体响应，任何只对采购标的其中一部分内容进行的响应都被视为无效投标。</w:t>
      </w:r>
    </w:p>
    <w:p>
      <w:pPr>
        <w:pStyle w:val="5"/>
        <w:numPr>
          <w:ilvl w:val="0"/>
          <w:numId w:val="3"/>
        </w:numPr>
        <w:tabs>
          <w:tab w:val="left" w:pos="426"/>
          <w:tab w:val="clear" w:pos="4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项目概况：</w:t>
      </w:r>
    </w:p>
    <w:p>
      <w:pPr>
        <w:numPr>
          <w:ilvl w:val="0"/>
          <w:numId w:val="4"/>
        </w:numPr>
        <w:snapToGrid w:val="0"/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本项目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内容与范围：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中山市社会保险基金管理局2025年度打印耗材采购项目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，项目总金额为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98000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元。</w:t>
      </w:r>
    </w:p>
    <w:p>
      <w:pPr>
        <w:numPr>
          <w:ilvl w:val="0"/>
          <w:numId w:val="4"/>
        </w:numPr>
        <w:snapToGrid w:val="0"/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本项目由成交供应商承包及负责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文件对成交供应商要求的一切事宜及责任。</w:t>
      </w:r>
    </w:p>
    <w:p>
      <w:pPr>
        <w:numPr>
          <w:ilvl w:val="0"/>
          <w:numId w:val="4"/>
        </w:numPr>
        <w:snapToGrid w:val="0"/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TW"/>
        </w:rPr>
        <w:t>本项目不允许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</w:rPr>
        <w:t>以任何方式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转包或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TW"/>
        </w:rPr>
        <w:t>分包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pStyle w:val="5"/>
        <w:numPr>
          <w:ilvl w:val="0"/>
          <w:numId w:val="3"/>
        </w:numPr>
        <w:tabs>
          <w:tab w:val="left" w:pos="426"/>
          <w:tab w:val="clear" w:pos="4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技术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要求</w:t>
      </w:r>
    </w:p>
    <w:p>
      <w:pPr>
        <w:pStyle w:val="5"/>
        <w:numPr>
          <w:ilvl w:val="0"/>
          <w:numId w:val="5"/>
        </w:numPr>
        <w:tabs>
          <w:tab w:val="left" w:pos="426"/>
        </w:tabs>
        <w:adjustRightInd w:val="0"/>
        <w:snapToGrid w:val="0"/>
        <w:spacing w:line="360" w:lineRule="auto"/>
        <w:ind w:left="0" w:leftChars="0"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技术规格及数量要求</w:t>
      </w:r>
    </w:p>
    <w:tbl>
      <w:tblPr>
        <w:tblStyle w:val="7"/>
        <w:tblW w:w="8132" w:type="dxa"/>
        <w:jc w:val="center"/>
        <w:tblInd w:w="-103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94"/>
        <w:gridCol w:w="1996"/>
        <w:gridCol w:w="988"/>
        <w:gridCol w:w="183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采购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kern w:val="0"/>
                <w:sz w:val="24"/>
                <w:szCs w:val="24"/>
                <w:lang w:bidi="ar"/>
              </w:rPr>
              <w:t>适用机型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HP 80A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Laserjet Pro 400 M401d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</w:rPr>
              <w:t xml:space="preserve">HP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05A </w:t>
            </w:r>
            <w:r>
              <w:rPr>
                <w:rFonts w:hint="eastAsia" w:ascii="宋体" w:hAnsi="宋体" w:eastAsia="宋体" w:cs="宋体"/>
              </w:rPr>
              <w:t>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HP LaserJet P2055d 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HP 28A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HP Laser Jet Pro M403d/dn 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理光 Ricoh  MP3554C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Ricoh MP3055SP/MP3554SP 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理光 Ricoh  MP3352C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Ricoh MP 3353SP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HP 202A青色(CF501A)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HP Color Laserjet M254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HP 202A红色(CF503A)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HP Color Laserjet M254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富士施乐 CT201636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DocuPrint CP305d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富士施乐 CT201637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DocuPrint CP305d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富士施乐 CT201638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DocuPrint CP305d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富士施乐 CT201639 原装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XEROX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DocuPrint CP305d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利盟CS439粉盒 黑色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利盟CS439粉盒 黄色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利盟CS439粉盒 红色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利盟CS439粉盒 蓝色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利盟CS439</w:t>
            </w:r>
          </w:p>
        </w:tc>
        <w:tc>
          <w:tcPr>
            <w:tcW w:w="9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质量要求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提供的所有</w:t>
      </w:r>
      <w:r>
        <w:rPr>
          <w:rFonts w:hint="eastAsia" w:hAnsi="宋体" w:cs="宋体"/>
          <w:color w:val="auto"/>
          <w:kern w:val="2"/>
          <w:sz w:val="21"/>
          <w:szCs w:val="21"/>
          <w:highlight w:val="none"/>
          <w:lang w:eastAsia="zh-CN"/>
        </w:rPr>
        <w:t>打印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耗材须符合《中华人民共和国产品质量法》《环境标志产品技术要求 再生鼓粉盒》（HJ 2503-2011）等国家法律法规及行业标准，提供生产厂家出具的产品质量检验合格证明（复印件加盖供应商公章），禁止采购 “三无” 产品（无生产日期、无质量合格证、无生产厂家）。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提供</w:t>
      </w:r>
      <w:r>
        <w:rPr>
          <w:rFonts w:hint="eastAsia" w:hAnsi="宋体" w:cs="宋体"/>
          <w:color w:val="auto"/>
          <w:kern w:val="2"/>
          <w:sz w:val="21"/>
          <w:szCs w:val="21"/>
          <w:highlight w:val="none"/>
          <w:lang w:eastAsia="zh-CN"/>
        </w:rPr>
        <w:t>的所有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eastAsia="zh-CN"/>
        </w:rPr>
        <w:t>打印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耗材须与</w:t>
      </w:r>
      <w:r>
        <w:rPr>
          <w:rFonts w:hint="eastAsia" w:hAnsi="宋体" w:cs="宋体"/>
          <w:b w:val="0"/>
          <w:bCs w:val="0"/>
          <w:color w:val="auto"/>
          <w:sz w:val="21"/>
          <w:szCs w:val="21"/>
          <w:lang w:eastAsia="zh-CN"/>
        </w:rPr>
        <w:t>我局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现有办公打印设备型号完全适配，不得出现 “安装卡顿、无法识别、漏粉 / 漏墨、打印报错” 等问题；供应商须提供 “耗材 - 设备型号适配对照表”，并承诺到货后提供免费安装调试服务，确保装机后设备正常运行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所提供的同一批次采购的耗材（如同一型号硒鼓）须保持一致性，外观、尺寸、接口规格无差异，避免因耗材规格不统一导致设备故障。。</w:t>
      </w:r>
    </w:p>
    <w:p>
      <w:pPr>
        <w:pStyle w:val="5"/>
        <w:numPr>
          <w:ilvl w:val="0"/>
          <w:numId w:val="5"/>
        </w:numPr>
        <w:tabs>
          <w:tab w:val="left" w:pos="426"/>
        </w:tabs>
        <w:adjustRightInd w:val="0"/>
        <w:snapToGrid w:val="0"/>
        <w:spacing w:line="360" w:lineRule="auto"/>
        <w:ind w:left="0" w:leftChars="0"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货物要求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打印文本：黑白文本字迹清晰、边缘无晕染，无 “空心字、断笔画、重影” 等现象；彩色墨盒打印色彩均匀，与标准色卡比对无明显色差，色彩耐久性强（常温下存放 6 个月不褪色、不泛黄）。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bidi="ar"/>
        </w:rPr>
        <w:t>货物为原厂商未启封全新包装，具出厂合格证，序列号、包装箱号与出厂批号一致，并可追索查阅。所有随货物的附件必须齐全。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napToGrid w:val="0"/>
          <w:color w:val="auto"/>
          <w:sz w:val="21"/>
          <w:szCs w:val="21"/>
        </w:rPr>
        <w:t>耗材容量：实际打印量须符合供应商承诺标准（如 A4 纸 5% 覆盖率下，硒鼓打印量不低于 2000 页、黑色墨盒不低于 1500 页），偏差率不得超过 ±5%；供应商须提供抽样测试承诺，到货后可随机抽取 1-2 个耗材进行打印量实测，未达标准的须无条件退换。。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Cs/>
          <w:snapToGrid w:val="0"/>
          <w:color w:val="auto"/>
          <w:sz w:val="21"/>
          <w:szCs w:val="21"/>
        </w:rPr>
        <w:t>供应商在实际供货时，若被发现提供的货物未能达到</w:t>
      </w:r>
      <w:r>
        <w:rPr>
          <w:rFonts w:hint="eastAsia" w:hAnsi="宋体" w:cs="宋体"/>
          <w:bCs/>
          <w:snapToGrid w:val="0"/>
          <w:color w:val="auto"/>
          <w:sz w:val="21"/>
          <w:szCs w:val="21"/>
          <w:lang w:eastAsia="zh-CN"/>
        </w:rPr>
        <w:t>询价</w:t>
      </w:r>
      <w:r>
        <w:rPr>
          <w:rFonts w:hint="eastAsia" w:ascii="宋体" w:hAnsi="宋体" w:eastAsia="宋体" w:cs="宋体"/>
          <w:bCs/>
          <w:snapToGrid w:val="0"/>
          <w:color w:val="auto"/>
          <w:sz w:val="21"/>
          <w:szCs w:val="21"/>
        </w:rPr>
        <w:t>文件和响应文件中的有关要求，采购人有权拒绝验收</w:t>
      </w:r>
      <w:r>
        <w:rPr>
          <w:rFonts w:hint="eastAsia" w:ascii="宋体" w:hAnsi="宋体" w:eastAsia="宋体" w:cs="宋体"/>
          <w:bCs/>
          <w:snapToGrid w:val="0"/>
          <w:color w:val="auto"/>
          <w:sz w:val="21"/>
          <w:szCs w:val="21"/>
          <w:lang w:eastAsia="zh-CN"/>
        </w:rPr>
        <w:t>，并解除合同，同时追究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Cs/>
          <w:snapToGrid w:val="0"/>
          <w:color w:val="auto"/>
          <w:sz w:val="21"/>
          <w:szCs w:val="21"/>
          <w:lang w:eastAsia="zh-CN"/>
        </w:rPr>
        <w:t>供应商相应违约责任</w:t>
      </w:r>
      <w:r>
        <w:rPr>
          <w:rFonts w:hint="eastAsia" w:ascii="宋体" w:hAnsi="宋体" w:eastAsia="宋体" w:cs="宋体"/>
          <w:bCs/>
          <w:snapToGrid w:val="0"/>
          <w:color w:val="auto"/>
          <w:sz w:val="21"/>
          <w:szCs w:val="21"/>
        </w:rPr>
        <w:t>。</w:t>
      </w:r>
    </w:p>
    <w:p>
      <w:pPr>
        <w:pStyle w:val="5"/>
        <w:numPr>
          <w:ilvl w:val="0"/>
          <w:numId w:val="3"/>
        </w:numPr>
        <w:tabs>
          <w:tab w:val="left" w:pos="426"/>
          <w:tab w:val="clear" w:pos="4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商务要求</w:t>
      </w:r>
    </w:p>
    <w:p>
      <w:pPr>
        <w:pStyle w:val="5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360" w:lineRule="auto"/>
        <w:ind w:left="0" w:leftChars="0"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包装、运输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、保管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成交供应商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应采用防污、防雨等相关措施对产品进行包装，确保产品在正常作业和装卸条件下安全无损地到达合同指定地点。包装方式的确定及包装费用均由成交供应商负责；由于不适当的包装而造成货物在运输过程中有任何损坏、丢失由成交供应商负责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送货时，产品应注明货物名称、型号、数量，以供采购人核对。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包装应足以承受整个过程中的运输、转运、装卸、储存等，充分考虑到运输途中的各种情况（如暴露于恶劣气候等）和中山地区的气候特点，以及露天存放的需要。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成交供应商按采购人要求，分批按时按量运送货物。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包装费、运费已包含在总价内。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货物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未提货前的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现场保管由成交供应商负责，直至项目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交付、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验收完毕。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货物在验收合格前的保险由成交供应商负责，成交供应商负责其派出的现场服务人员人身意外保险。</w:t>
      </w:r>
    </w:p>
    <w:p>
      <w:pPr>
        <w:pStyle w:val="5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360" w:lineRule="auto"/>
        <w:ind w:left="0" w:leftChars="0"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交货时间和地点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交货时间：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自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合同签订日起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202</w:t>
      </w:r>
      <w:r>
        <w:rPr>
          <w:rFonts w:hint="eastAsia" w:hAnsi="宋体" w:cs="宋体"/>
          <w:b w:val="0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年12月10日</w:t>
      </w:r>
      <w:r>
        <w:rPr>
          <w:rFonts w:hint="eastAsia" w:hAnsi="宋体" w:cs="宋体"/>
          <w:b w:val="0"/>
          <w:bCs/>
          <w:color w:val="auto"/>
          <w:sz w:val="21"/>
          <w:szCs w:val="21"/>
          <w:lang w:val="en-US" w:eastAsia="zh-CN"/>
        </w:rPr>
        <w:t>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分批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送货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和验收。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交货地点：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中山市社会保险基金管理局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指定地点。</w:t>
      </w:r>
    </w:p>
    <w:p>
      <w:pPr>
        <w:pStyle w:val="5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360" w:lineRule="auto"/>
        <w:ind w:left="0" w:leftChars="0"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  <w:t>质量保证及售后服务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质量保障承诺</w:t>
      </w:r>
      <w:r>
        <w:rPr>
          <w:rFonts w:hint="eastAsia" w:hAnsi="宋体" w:cs="宋体"/>
          <w:b w:val="0"/>
          <w:bCs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供应商须提供不低于 6 个月的质量保修期（自耗材验收合格之日起算），保修期内出现 “打印质量不达标、耗材故障导致设备损坏” 等问题，供应商须在 24 小时内响应，48 小时内免费更换合格耗材，并承担因耗材质量问题导致的设备维修费用。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售后服务要求：免费上门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，免费更换破损、异味及其他有质量问题的</w:t>
      </w:r>
      <w:r>
        <w:rPr>
          <w:rFonts w:hint="eastAsia" w:hAnsi="宋体" w:cs="宋体"/>
          <w:b w:val="0"/>
          <w:bCs/>
          <w:color w:val="auto"/>
          <w:sz w:val="21"/>
          <w:szCs w:val="21"/>
          <w:lang w:eastAsia="zh-CN"/>
        </w:rPr>
        <w:t>打印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耗材，免费提供</w:t>
      </w:r>
      <w:r>
        <w:rPr>
          <w:rFonts w:hint="eastAsia" w:hAnsi="宋体" w:cs="宋体"/>
          <w:b w:val="0"/>
          <w:bCs/>
          <w:color w:val="auto"/>
          <w:sz w:val="21"/>
          <w:szCs w:val="21"/>
          <w:lang w:eastAsia="zh-CN"/>
        </w:rPr>
        <w:t>打印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耗材的有关售后服务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。</w:t>
      </w:r>
    </w:p>
    <w:p>
      <w:pPr>
        <w:pStyle w:val="5"/>
        <w:numPr>
          <w:ilvl w:val="0"/>
          <w:numId w:val="3"/>
        </w:numPr>
        <w:tabs>
          <w:tab w:val="left" w:pos="426"/>
          <w:tab w:val="clear" w:pos="4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收到货物后经采购方抽检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合格后，按财务有关流程规定，付款合同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全款金额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pStyle w:val="5"/>
        <w:numPr>
          <w:ilvl w:val="0"/>
          <w:numId w:val="3"/>
        </w:numPr>
        <w:tabs>
          <w:tab w:val="left" w:pos="426"/>
          <w:tab w:val="clear" w:pos="4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验收方式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在接收货物时，若所送档案盒及其他用品不符合质量要求及标准，采购人有权拒绝收货，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须在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天内予以更换，所产生的一切费用由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承担。</w:t>
      </w:r>
    </w:p>
    <w:p>
      <w:pPr>
        <w:pStyle w:val="5"/>
        <w:numPr>
          <w:ilvl w:val="0"/>
          <w:numId w:val="3"/>
        </w:numPr>
        <w:tabs>
          <w:tab w:val="left" w:pos="426"/>
          <w:tab w:val="clear" w:pos="4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采购人配合条件</w:t>
      </w:r>
    </w:p>
    <w:p>
      <w:pPr>
        <w:ind w:firstLine="420" w:firstLineChars="200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供应商在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响应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1"/>
          <w:szCs w:val="21"/>
        </w:rPr>
        <w:t>文件中要列明在项目实施过程中要求采购人提供的配合条件。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301D3"/>
    <w:multiLevelType w:val="singleLevel"/>
    <w:tmpl w:val="90E301D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">
    <w:nsid w:val="C1267DC1"/>
    <w:multiLevelType w:val="singleLevel"/>
    <w:tmpl w:val="C1267DC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C657366"/>
    <w:multiLevelType w:val="singleLevel"/>
    <w:tmpl w:val="DC65736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5568B0F"/>
    <w:multiLevelType w:val="singleLevel"/>
    <w:tmpl w:val="E5568B0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4">
    <w:nsid w:val="EB83BC35"/>
    <w:multiLevelType w:val="singleLevel"/>
    <w:tmpl w:val="EB83BC3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5">
    <w:nsid w:val="00000035"/>
    <w:multiLevelType w:val="multilevel"/>
    <w:tmpl w:val="00000035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Courier New"/>
        <w:b/>
        <w:bCs/>
        <w:sz w:val="21"/>
        <w:szCs w:val="21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100939DC"/>
    <w:multiLevelType w:val="singleLevel"/>
    <w:tmpl w:val="100939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7">
    <w:nsid w:val="13FB23FC"/>
    <w:multiLevelType w:val="singleLevel"/>
    <w:tmpl w:val="13FB23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8">
    <w:nsid w:val="1AE618A6"/>
    <w:multiLevelType w:val="multilevel"/>
    <w:tmpl w:val="1AE618A6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  <w:color w:val="auto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D924FE"/>
    <w:multiLevelType w:val="singleLevel"/>
    <w:tmpl w:val="2BD924F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0">
    <w:nsid w:val="756C9BF4"/>
    <w:multiLevelType w:val="singleLevel"/>
    <w:tmpl w:val="756C9B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7C6D"/>
    <w:rsid w:val="1DB74C8A"/>
    <w:rsid w:val="20CF6F73"/>
    <w:rsid w:val="30CA59AF"/>
    <w:rsid w:val="31220D62"/>
    <w:rsid w:val="33795672"/>
    <w:rsid w:val="70022A42"/>
    <w:rsid w:val="71085ED6"/>
    <w:rsid w:val="7A85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kern w:val="0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黄慧捷</cp:lastModifiedBy>
  <dcterms:modified xsi:type="dcterms:W3CDTF">2025-10-24T03:40:21Z</dcterms:modified>
  <dc:title>用户需求书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519D617F241F4A5FB22D134DFAFE104E</vt:lpwstr>
  </property>
</Properties>
</file>