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90"/>
        </w:tabs>
        <w:spacing w:before="468" w:beforeLines="150" w:line="1000" w:lineRule="exact"/>
        <w:jc w:val="center"/>
        <w:rPr>
          <w:rFonts w:hint="eastAsia" w:ascii="黑体" w:hAnsi="宋体" w:eastAsia="黑体"/>
          <w:b/>
          <w:color w:val="auto"/>
          <w:sz w:val="68"/>
          <w:szCs w:val="68"/>
          <w:lang w:eastAsia="zh-CN"/>
        </w:rPr>
      </w:pPr>
    </w:p>
    <w:p>
      <w:pPr>
        <w:tabs>
          <w:tab w:val="left" w:pos="3990"/>
        </w:tabs>
        <w:spacing w:before="468" w:beforeLines="150" w:line="1000" w:lineRule="exact"/>
        <w:jc w:val="center"/>
        <w:rPr>
          <w:rFonts w:hint="eastAsia" w:ascii="黑体" w:hAnsi="宋体" w:eastAsia="黑体"/>
          <w:b/>
          <w:color w:val="auto"/>
          <w:sz w:val="68"/>
          <w:szCs w:val="68"/>
          <w:lang w:eastAsia="zh-CN"/>
        </w:rPr>
      </w:pPr>
    </w:p>
    <w:p>
      <w:pPr>
        <w:tabs>
          <w:tab w:val="left" w:pos="3990"/>
        </w:tabs>
        <w:spacing w:before="468" w:beforeLines="150" w:line="1000" w:lineRule="exact"/>
        <w:jc w:val="center"/>
        <w:rPr>
          <w:rFonts w:hint="eastAsia" w:ascii="黑体" w:hAnsi="宋体" w:eastAsia="黑体"/>
          <w:b/>
          <w:color w:val="auto"/>
          <w:sz w:val="68"/>
          <w:szCs w:val="68"/>
          <w:lang w:eastAsia="zh-CN"/>
        </w:rPr>
      </w:pPr>
    </w:p>
    <w:p>
      <w:pPr>
        <w:tabs>
          <w:tab w:val="left" w:pos="3990"/>
        </w:tabs>
        <w:spacing w:before="468" w:beforeLines="150" w:line="1000" w:lineRule="exact"/>
        <w:jc w:val="center"/>
        <w:rPr>
          <w:color w:val="auto"/>
        </w:rPr>
      </w:pPr>
      <w:r>
        <w:rPr>
          <w:rFonts w:hint="eastAsia" w:ascii="黑体" w:hAnsi="宋体" w:eastAsia="黑体"/>
          <w:b/>
          <w:color w:val="auto"/>
          <w:sz w:val="68"/>
          <w:szCs w:val="68"/>
          <w:lang w:val="en-US" w:eastAsia="zh-CN"/>
        </w:rPr>
        <w:t>中山市参加广东省</w:t>
      </w:r>
      <w:r>
        <w:rPr>
          <w:rFonts w:hint="default" w:ascii="黑体" w:hAnsi="宋体" w:eastAsia="黑体"/>
          <w:b/>
          <w:color w:val="auto"/>
          <w:sz w:val="68"/>
          <w:szCs w:val="68"/>
          <w:lang w:val="en-US" w:eastAsia="zh-CN"/>
        </w:rPr>
        <w:t>2026</w:t>
      </w:r>
      <w:r>
        <w:rPr>
          <w:rFonts w:hint="eastAsia" w:ascii="黑体" w:hAnsi="宋体" w:eastAsia="黑体"/>
          <w:b/>
          <w:color w:val="auto"/>
          <w:sz w:val="68"/>
          <w:szCs w:val="68"/>
          <w:lang w:val="en-US" w:eastAsia="zh-CN"/>
        </w:rPr>
        <w:t>年“百万英才汇南粤”春季大型综合招聘会</w:t>
      </w:r>
      <w:bookmarkStart w:id="0" w:name="_Toc24244"/>
      <w:bookmarkStart w:id="1" w:name="_Toc28945"/>
      <w:bookmarkStart w:id="2" w:name="_Toc15709_WPSOffice_Level1"/>
      <w:bookmarkStart w:id="3" w:name="_Toc21125_WPSOffice_Level1"/>
      <w:r>
        <w:rPr>
          <w:rFonts w:hint="eastAsia" w:ascii="黑体" w:hAnsi="宋体" w:eastAsia="黑体"/>
          <w:b/>
          <w:color w:val="auto"/>
          <w:sz w:val="68"/>
          <w:szCs w:val="68"/>
          <w:lang w:val="en-US" w:eastAsia="zh-CN"/>
        </w:rPr>
        <w:t>项目</w:t>
      </w:r>
      <w:r>
        <w:rPr>
          <w:rFonts w:hint="eastAsia" w:ascii="黑体" w:hAnsi="宋体" w:eastAsia="黑体"/>
          <w:b/>
          <w:color w:val="auto"/>
          <w:sz w:val="68"/>
          <w:szCs w:val="68"/>
          <w:lang w:eastAsia="zh-CN"/>
        </w:rPr>
        <w:t>用户需求书</w:t>
      </w:r>
      <w:bookmarkEnd w:id="0"/>
      <w:bookmarkEnd w:id="1"/>
      <w:bookmarkEnd w:id="2"/>
      <w:bookmarkEnd w:id="3"/>
    </w:p>
    <w:p>
      <w:pPr>
        <w:pStyle w:val="17"/>
        <w:spacing w:before="0" w:after="0" w:line="360" w:lineRule="auto"/>
        <w:jc w:val="left"/>
        <w:rPr>
          <w:rFonts w:ascii="宋体" w:cs="宋体"/>
          <w:b/>
          <w:bCs/>
          <w:color w:val="auto"/>
          <w:sz w:val="21"/>
          <w:szCs w:val="21"/>
        </w:rPr>
      </w:pPr>
    </w:p>
    <w:p>
      <w:pPr>
        <w:pStyle w:val="17"/>
        <w:spacing w:before="0" w:after="0" w:line="360" w:lineRule="auto"/>
        <w:jc w:val="left"/>
        <w:rPr>
          <w:rFonts w:ascii="宋体" w:cs="宋体"/>
          <w:b/>
          <w:bCs/>
          <w:color w:val="auto"/>
          <w:sz w:val="21"/>
          <w:szCs w:val="21"/>
        </w:rPr>
      </w:pPr>
    </w:p>
    <w:p>
      <w:pPr>
        <w:pStyle w:val="17"/>
        <w:spacing w:before="0" w:after="0" w:line="360" w:lineRule="auto"/>
        <w:jc w:val="left"/>
        <w:rPr>
          <w:rFonts w:ascii="宋体" w:cs="宋体"/>
          <w:b/>
          <w:bCs/>
          <w:color w:val="auto"/>
          <w:sz w:val="21"/>
          <w:szCs w:val="21"/>
        </w:rPr>
      </w:pPr>
    </w:p>
    <w:p>
      <w:pPr>
        <w:pStyle w:val="17"/>
        <w:spacing w:before="0" w:after="0" w:line="360" w:lineRule="auto"/>
        <w:jc w:val="left"/>
        <w:rPr>
          <w:rFonts w:ascii="宋体" w:cs="宋体"/>
          <w:b/>
          <w:bCs/>
          <w:color w:val="auto"/>
          <w:sz w:val="21"/>
          <w:szCs w:val="21"/>
        </w:rPr>
        <w:sectPr>
          <w:footerReference r:id="rId5" w:type="default"/>
          <w:pgSz w:w="11906" w:h="16838"/>
          <w:pgMar w:top="1247" w:right="1134" w:bottom="1361" w:left="1134" w:header="624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>
      <w:pPr>
        <w:pStyle w:val="17"/>
        <w:spacing w:before="156" w:beforeLines="50" w:after="156" w:afterLines="50" w:line="360" w:lineRule="auto"/>
        <w:jc w:val="center"/>
        <w:rPr>
          <w:rFonts w:ascii="Arial" w:hAnsi="Arial"/>
          <w:b/>
          <w:bCs/>
          <w:color w:val="auto"/>
          <w:sz w:val="32"/>
          <w:szCs w:val="32"/>
        </w:rPr>
      </w:pPr>
      <w:r>
        <w:rPr>
          <w:rFonts w:hint="eastAsia" w:ascii="Arial" w:hAnsi="Arial"/>
          <w:b/>
          <w:bCs/>
          <w:color w:val="auto"/>
          <w:sz w:val="32"/>
          <w:szCs w:val="32"/>
          <w:lang w:eastAsia="zh-CN"/>
        </w:rPr>
        <w:t>采购</w:t>
      </w:r>
      <w:r>
        <w:rPr>
          <w:rFonts w:hint="eastAsia" w:ascii="Arial" w:hAnsi="Arial"/>
          <w:b/>
          <w:bCs/>
          <w:color w:val="auto"/>
          <w:sz w:val="32"/>
          <w:szCs w:val="32"/>
        </w:rPr>
        <w:t>需求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/>
        <w:rPr>
          <w:rFonts w:hint="eastAsia"/>
          <w:b/>
          <w:bCs/>
          <w:color w:val="auto"/>
          <w:sz w:val="21"/>
          <w:szCs w:val="21"/>
        </w:rPr>
      </w:pPr>
      <w:bookmarkStart w:id="4" w:name="_Toc31550"/>
      <w:r>
        <w:rPr>
          <w:rFonts w:hint="eastAsia"/>
          <w:b/>
          <w:bCs/>
          <w:color w:val="auto"/>
          <w:sz w:val="21"/>
          <w:szCs w:val="21"/>
        </w:rPr>
        <w:t>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深入学习贯彻习近平总书记关于做好新时代人才工作的重要思想，全面贯彻落实全省</w:t>
      </w: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高质量发展大会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精神和省委、省政府关于“</w:t>
      </w: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百万英才汇南粤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”</w:t>
      </w: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行动计划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的决策部署，突出“粤聚英才、粤见未来”主题，聚焦新时代中山现代化产业集群“十大舰队”发展需求，以最大诚意、最优服务、最强力度、最暖举措招引集聚各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类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人才；按照市委组织部《中山市参加广东省</w:t>
      </w: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年“百万英才汇南粤”春季大型综合招聘会工作方案》工作安排，开展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专项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引才活动。</w:t>
      </w:r>
    </w:p>
    <w:bookmarkEnd w:id="4"/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名称：中山市参加广东省</w:t>
      </w:r>
      <w:r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年“百万英才汇南粤”春季大型综合招聘会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主办单位及活动主题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主办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单位：中山市人力资源和社会保障局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2、活动主题：粤聚英才 粤见未来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三、活动时间、地点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2026年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3月15-16日，</w:t>
      </w:r>
      <w:r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广州市广交会展馆D区17.1、17.2馆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四、活动内容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（一）中山“十五五”规划展示区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1．</w:t>
      </w:r>
      <w:r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中山“十五五”规划展示区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占地24</w:t>
      </w:r>
      <w:r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平方米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（具体尺寸为：长6米、宽4米、限高2.8米）</w:t>
      </w:r>
      <w:r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综合运用图文、视频、实物等方式，立体化直观呈现中山“十五五”规划发展蓝图，突出新质生产力培育与前沿产业、科技创新前瞻布局，集中展现中山高质量发展的强劲势能与广阔机遇。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2．个性化设置非遗体验、游戏打卡、发放人才礼遇、文创潮玩等互动交流项目，充分体现城市人文魅力与引才诚意。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（二）中山招聘专区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组织50家以上重点用人单位参加现场招聘，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挖掘我市优质就业岗位，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组织企业代表到场与高校应届毕业生进行互动交流、简历对接、面试洽谈等。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default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（三）“南粤风采”中山展演节目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我市将安排“奋斗者</w:t>
      </w:r>
      <w:r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·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中山人才说”系列节目上台展演。展演节目形式包含但不限于人才政策宣讲、知名企业引才宣讲、特色文化展演（如：非遗表演、歌舞表演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等艺术表演形式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）、人才大咖或青年人才求职路演等；人才打call视频制作。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五、工作要求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（一）中山“十五五”规划展示区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.做好展区布展工作。展区面积约24平米，限高约2.8米（以省最终方案为准）。供应商负责协助行业主管部门策划设计中山“十五五”规划展示内容；个性化设置非遗体验、游戏打卡、发放人才礼遇、文创潮玩等互动交流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2.展示内容遴选。协助行业主管部门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遴选并邀请总部企业、新兴产业和未来产业代表性企业，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选派创新性和互动性强的科技创新成果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参展，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整理相关企业及展品简介。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3.总体形象设计。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围绕活动主题进行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活动品牌及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形象设计，做好城市形象宣传、场地规划、展位搭建、会场布置、氛围营造。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安全保障工作。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做好活动现场应急预案、人流管控和安全保障工作。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（二）中山招聘专区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1.做好组织</w:t>
      </w:r>
      <w:bookmarkStart w:id="5" w:name="_GoBack"/>
      <w:bookmarkEnd w:id="5"/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工作。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组织50家以上重点用人单位参加现场招聘，线上线下提供超1600个优质就业岗位，为中山招引符合经济社会发展需求的高校毕业生和各类优秀人才。招聘岗位确保真实、具有市场竞争力，岗位学历要求为大专及以上，一般年薪不少于8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2.执行专场引才活动。做好招聘活动全类执行工作；提前规划活动排期、活动预热和全程宣传；做好参会嘉宾、企业代表交通、食宿等后勤保障</w:t>
      </w:r>
      <w:r>
        <w:rPr>
          <w:rFonts w:hint="eastAsia"/>
          <w:color w:val="auto"/>
          <w:lang w:eastAsia="zh-CN"/>
        </w:rPr>
        <w:t>并支付相关费用。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做好参加人员统计、签到等工作。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3.个性化服务方案。成交供应商承担“引才管家”服务，根据活动安排，为参会企业代表提供企业形象宣传、岗位信息规划整理、企业与人才见面洽谈等个性化服务。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4.整体形象设计。围绕活动主题进行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活动品牌及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形象设计，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配合展会主办方做好场地布置管理工作，招聘展位上方增加特色城市宣传元素设计，营造良好活动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氛围；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5.加强活动宣传。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多元化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多渠道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做好活动预热宣传、现场报道和成效推介，广泛发动各类用人单位和人才参加活动，配合媒体做好采访和宣传素材采集工作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pStyle w:val="4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后续对接服务。</w:t>
      </w:r>
      <w:r>
        <w:rPr>
          <w:color w:val="auto"/>
          <w:sz w:val="21"/>
          <w:szCs w:val="21"/>
        </w:rPr>
        <w:t>配备专员做好招聘活动现场及后续数据归集</w:t>
      </w:r>
      <w:r>
        <w:rPr>
          <w:rFonts w:hint="eastAsia"/>
          <w:color w:val="auto"/>
          <w:sz w:val="21"/>
          <w:szCs w:val="21"/>
          <w:lang w:eastAsia="zh-CN"/>
        </w:rPr>
        <w:t>和</w:t>
      </w:r>
      <w:r>
        <w:rPr>
          <w:color w:val="auto"/>
          <w:sz w:val="21"/>
          <w:szCs w:val="21"/>
        </w:rPr>
        <w:t>反馈</w:t>
      </w:r>
      <w:r>
        <w:rPr>
          <w:rFonts w:hint="eastAsia"/>
          <w:color w:val="auto"/>
          <w:sz w:val="21"/>
          <w:szCs w:val="21"/>
          <w:lang w:eastAsia="zh-CN"/>
        </w:rPr>
        <w:t>工作，活动结束后</w:t>
      </w:r>
      <w:r>
        <w:rPr>
          <w:rFonts w:hint="eastAsia"/>
          <w:color w:val="auto"/>
          <w:sz w:val="21"/>
          <w:szCs w:val="21"/>
          <w:lang w:val="en-US" w:eastAsia="zh-CN"/>
        </w:rPr>
        <w:t>6个月内不定期跟踪招聘成果数据，</w:t>
      </w:r>
      <w:r>
        <w:rPr>
          <w:rFonts w:hint="eastAsia"/>
          <w:color w:val="auto"/>
          <w:lang w:eastAsia="zh-CN"/>
        </w:rPr>
        <w:t>按采购人要求及时提供相关数据</w:t>
      </w:r>
      <w:r>
        <w:rPr>
          <w:rFonts w:hint="eastAsia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完成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全程招聘活动后继续协助企业及人才面试前后的沟通、跟进工作；为意向人才提供到中山面试的行程咨询及协助安排。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20"/>
        <w:jc w:val="left"/>
        <w:rPr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7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eastAsia="zh-CN" w:bidi="ar-SA"/>
        </w:rPr>
        <w:t>.</w:t>
      </w:r>
      <w:r>
        <w:rPr>
          <w:color w:val="auto"/>
          <w:sz w:val="21"/>
          <w:szCs w:val="21"/>
        </w:rPr>
        <w:t>安全保障要求</w:t>
      </w:r>
      <w:r>
        <w:rPr>
          <w:rFonts w:hint="eastAsia"/>
          <w:color w:val="auto"/>
          <w:sz w:val="21"/>
          <w:szCs w:val="21"/>
          <w:lang w:eastAsia="zh-CN"/>
        </w:rPr>
        <w:t>。</w:t>
      </w:r>
      <w:r>
        <w:rPr>
          <w:color w:val="auto"/>
          <w:sz w:val="21"/>
          <w:szCs w:val="21"/>
        </w:rPr>
        <w:t>供应商需要制定完善应急预案，全面考量政治、政策、活动及群情风险，确保活动全程安全。包括但不限于：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20"/>
        <w:jc w:val="lef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①依安全标准全面检查现场设施设备，提前研判风险点。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20"/>
        <w:jc w:val="lef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②科学设置规划线路，进行人群分流，防止现场拥挤、踩踏。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20"/>
        <w:jc w:val="lef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③加强对工作人员、志愿者、企业招聘人员及求职者的安全教育。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firstLine="420" w:firstLineChars="20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④活动期间，安排专人分组分区，定时与不定时巡查，及时处理人员拥挤、设备故障等隐患，制止不当言论、违规操作等，保障人员生命财产安全。</w:t>
      </w:r>
    </w:p>
    <w:p>
      <w:pPr>
        <w:keepNext w:val="0"/>
        <w:keepLines w:val="0"/>
        <w:numPr>
          <w:ilvl w:val="0"/>
          <w:numId w:val="0"/>
        </w:numPr>
        <w:spacing w:line="360" w:lineRule="auto"/>
        <w:ind w:firstLine="420" w:firstLineChars="200"/>
        <w:outlineLvl w:val="9"/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购买合适的公众责任保险（保险总赔偿保额不低于200万元）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（三）“南粤风采”中山展演节目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该项工作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政府相关职能部门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要求落实制作并支付相关费用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费用控制在8万元内，据实列支。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、报价要求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本采购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预算费用为：¥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488,500.00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（大写：人民币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肆拾捌万捌仟伍佰元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整），采用全包干的方式，包括全程策划宣传发动、会场布置、人员经费、人员往返车辆接送等费用；配合活动主题的原创产品制作、现场相片视频拍摄、场地布置、物料制作；以及招聘会数据更新统计、其他人员经费及保险税金等能预见及不能预见的一切相关费用，采购人除支付本需求书所列明的项目总费用外，不再支付其他任何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7"/>
    <w:multiLevelType w:val="multilevel"/>
    <w:tmpl w:val="000000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2"/>
      <w:lvlText w:val="%1.%2.%3.%4."/>
      <w:lvlJc w:val="left"/>
      <w:pPr>
        <w:ind w:left="1271" w:hanging="851"/>
      </w:pPr>
      <w:rPr>
        <w:rFonts w:hint="default" w:ascii="Times New Roman" w:hAnsi="Times New Roman" w:cs="Times New Roman"/>
        <w:b w:val="0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."/>
      <w:lvlJc w:val="left"/>
      <w:pPr>
        <w:ind w:left="2269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663F47D5"/>
    <w:multiLevelType w:val="singleLevel"/>
    <w:tmpl w:val="663F47D5"/>
    <w:lvl w:ilvl="0" w:tentative="0">
      <w:start w:val="1"/>
      <w:numFmt w:val="chineseCounting"/>
      <w:suff w:val="nothing"/>
      <w:lvlText w:val="%1、"/>
      <w:lvlJc w:val="left"/>
      <w:pPr>
        <w:ind w:left="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1E35"/>
    <w:rsid w:val="00904676"/>
    <w:rsid w:val="009B4B52"/>
    <w:rsid w:val="00E908CF"/>
    <w:rsid w:val="014930B5"/>
    <w:rsid w:val="019B4162"/>
    <w:rsid w:val="020A69D1"/>
    <w:rsid w:val="02A677B7"/>
    <w:rsid w:val="02BA13E2"/>
    <w:rsid w:val="02BB7802"/>
    <w:rsid w:val="030054D2"/>
    <w:rsid w:val="03D340DA"/>
    <w:rsid w:val="049916D3"/>
    <w:rsid w:val="058C1267"/>
    <w:rsid w:val="060F639F"/>
    <w:rsid w:val="07A65D8B"/>
    <w:rsid w:val="08673CB9"/>
    <w:rsid w:val="08E44961"/>
    <w:rsid w:val="09797736"/>
    <w:rsid w:val="09FB55B8"/>
    <w:rsid w:val="0B863985"/>
    <w:rsid w:val="0BC645F8"/>
    <w:rsid w:val="0BCB6C6E"/>
    <w:rsid w:val="0C216123"/>
    <w:rsid w:val="0C3F40DA"/>
    <w:rsid w:val="0CA9557D"/>
    <w:rsid w:val="0D9011DC"/>
    <w:rsid w:val="0DA82468"/>
    <w:rsid w:val="0DF612E8"/>
    <w:rsid w:val="0E973FA1"/>
    <w:rsid w:val="0FAB7138"/>
    <w:rsid w:val="0FE4284F"/>
    <w:rsid w:val="115A55BC"/>
    <w:rsid w:val="116A6B7F"/>
    <w:rsid w:val="11C6452A"/>
    <w:rsid w:val="12774A86"/>
    <w:rsid w:val="12A5204F"/>
    <w:rsid w:val="13406F83"/>
    <w:rsid w:val="13755250"/>
    <w:rsid w:val="140B00D7"/>
    <w:rsid w:val="149D48D0"/>
    <w:rsid w:val="15424170"/>
    <w:rsid w:val="155D0500"/>
    <w:rsid w:val="16826E92"/>
    <w:rsid w:val="1769602A"/>
    <w:rsid w:val="17EA741E"/>
    <w:rsid w:val="17ED79BD"/>
    <w:rsid w:val="18016BC3"/>
    <w:rsid w:val="18CB25F9"/>
    <w:rsid w:val="1ACE017F"/>
    <w:rsid w:val="1B2B329A"/>
    <w:rsid w:val="1C4357B6"/>
    <w:rsid w:val="1C5D6587"/>
    <w:rsid w:val="1D4120DE"/>
    <w:rsid w:val="1ECA6FB8"/>
    <w:rsid w:val="1FC817C2"/>
    <w:rsid w:val="2085438E"/>
    <w:rsid w:val="20F06358"/>
    <w:rsid w:val="211E3D1B"/>
    <w:rsid w:val="214916CF"/>
    <w:rsid w:val="219A1DA6"/>
    <w:rsid w:val="22A93A95"/>
    <w:rsid w:val="23510E5D"/>
    <w:rsid w:val="24274547"/>
    <w:rsid w:val="24403E93"/>
    <w:rsid w:val="2476262D"/>
    <w:rsid w:val="24FD4EBD"/>
    <w:rsid w:val="25382DC5"/>
    <w:rsid w:val="26D819F6"/>
    <w:rsid w:val="28546C3A"/>
    <w:rsid w:val="289610AE"/>
    <w:rsid w:val="28E33508"/>
    <w:rsid w:val="28F7342B"/>
    <w:rsid w:val="29513D98"/>
    <w:rsid w:val="29C1258F"/>
    <w:rsid w:val="29DD258D"/>
    <w:rsid w:val="2AE95442"/>
    <w:rsid w:val="2B20715B"/>
    <w:rsid w:val="2BE42A27"/>
    <w:rsid w:val="2BF27A40"/>
    <w:rsid w:val="2D832B52"/>
    <w:rsid w:val="2E2066E4"/>
    <w:rsid w:val="2E234735"/>
    <w:rsid w:val="2EE5240F"/>
    <w:rsid w:val="2F7470EF"/>
    <w:rsid w:val="2FA6495C"/>
    <w:rsid w:val="2FCB6265"/>
    <w:rsid w:val="30406EED"/>
    <w:rsid w:val="31A36EB8"/>
    <w:rsid w:val="327F0870"/>
    <w:rsid w:val="32C20171"/>
    <w:rsid w:val="34DA71F0"/>
    <w:rsid w:val="350E19B3"/>
    <w:rsid w:val="35226619"/>
    <w:rsid w:val="358F6476"/>
    <w:rsid w:val="36C042C5"/>
    <w:rsid w:val="379566C8"/>
    <w:rsid w:val="37D7734F"/>
    <w:rsid w:val="381C6EA1"/>
    <w:rsid w:val="390A2521"/>
    <w:rsid w:val="39467FFA"/>
    <w:rsid w:val="39A71E6F"/>
    <w:rsid w:val="3AA54E2F"/>
    <w:rsid w:val="3C177780"/>
    <w:rsid w:val="3D1031A3"/>
    <w:rsid w:val="3D132D09"/>
    <w:rsid w:val="3D3E6A58"/>
    <w:rsid w:val="3DF70E9E"/>
    <w:rsid w:val="3E5F004B"/>
    <w:rsid w:val="3F821254"/>
    <w:rsid w:val="4013025E"/>
    <w:rsid w:val="40161624"/>
    <w:rsid w:val="40E84349"/>
    <w:rsid w:val="40F907B4"/>
    <w:rsid w:val="411A35BD"/>
    <w:rsid w:val="411E7924"/>
    <w:rsid w:val="4180380E"/>
    <w:rsid w:val="41CC6917"/>
    <w:rsid w:val="41D41C6F"/>
    <w:rsid w:val="43231242"/>
    <w:rsid w:val="434626F9"/>
    <w:rsid w:val="43B15749"/>
    <w:rsid w:val="451E51D1"/>
    <w:rsid w:val="45211E45"/>
    <w:rsid w:val="455F400E"/>
    <w:rsid w:val="458A0828"/>
    <w:rsid w:val="45C00533"/>
    <w:rsid w:val="45D60579"/>
    <w:rsid w:val="46805F22"/>
    <w:rsid w:val="469C62AC"/>
    <w:rsid w:val="472F3264"/>
    <w:rsid w:val="47F6416E"/>
    <w:rsid w:val="48F2291D"/>
    <w:rsid w:val="49343C18"/>
    <w:rsid w:val="49544FBE"/>
    <w:rsid w:val="498059B6"/>
    <w:rsid w:val="49D06B5B"/>
    <w:rsid w:val="49FB151C"/>
    <w:rsid w:val="4BBD239A"/>
    <w:rsid w:val="4BF36A73"/>
    <w:rsid w:val="4CD94A73"/>
    <w:rsid w:val="4D8679BA"/>
    <w:rsid w:val="4E250037"/>
    <w:rsid w:val="4E271047"/>
    <w:rsid w:val="4F352611"/>
    <w:rsid w:val="4F3647C8"/>
    <w:rsid w:val="4FE11A4B"/>
    <w:rsid w:val="51436A98"/>
    <w:rsid w:val="52670DA3"/>
    <w:rsid w:val="52703F9D"/>
    <w:rsid w:val="52CC67B9"/>
    <w:rsid w:val="539036C8"/>
    <w:rsid w:val="53F20137"/>
    <w:rsid w:val="54137CFE"/>
    <w:rsid w:val="54951D04"/>
    <w:rsid w:val="54C36A6D"/>
    <w:rsid w:val="54DE15DA"/>
    <w:rsid w:val="55132F5D"/>
    <w:rsid w:val="560B78B2"/>
    <w:rsid w:val="57D71443"/>
    <w:rsid w:val="59291EB6"/>
    <w:rsid w:val="59C3464B"/>
    <w:rsid w:val="59EC67EE"/>
    <w:rsid w:val="59FB576D"/>
    <w:rsid w:val="5A5957AB"/>
    <w:rsid w:val="5B897DE1"/>
    <w:rsid w:val="5BFB57C8"/>
    <w:rsid w:val="5C224366"/>
    <w:rsid w:val="5C4C1ABC"/>
    <w:rsid w:val="5C4F2363"/>
    <w:rsid w:val="5CA14F6D"/>
    <w:rsid w:val="5DBF4E2A"/>
    <w:rsid w:val="5DDD006F"/>
    <w:rsid w:val="5DFC4103"/>
    <w:rsid w:val="5E2F35AF"/>
    <w:rsid w:val="5F0550C7"/>
    <w:rsid w:val="5FA05AA7"/>
    <w:rsid w:val="600209A6"/>
    <w:rsid w:val="602B2078"/>
    <w:rsid w:val="61435ED9"/>
    <w:rsid w:val="61513F94"/>
    <w:rsid w:val="61742E58"/>
    <w:rsid w:val="623E5903"/>
    <w:rsid w:val="636F498A"/>
    <w:rsid w:val="63956B96"/>
    <w:rsid w:val="63D96F29"/>
    <w:rsid w:val="64EC5B79"/>
    <w:rsid w:val="64FD784A"/>
    <w:rsid w:val="65D8316A"/>
    <w:rsid w:val="66591FD6"/>
    <w:rsid w:val="66783F59"/>
    <w:rsid w:val="66F20056"/>
    <w:rsid w:val="672654D3"/>
    <w:rsid w:val="678564CD"/>
    <w:rsid w:val="67DD4B2A"/>
    <w:rsid w:val="6848276A"/>
    <w:rsid w:val="68B61283"/>
    <w:rsid w:val="694903CC"/>
    <w:rsid w:val="6B0B079E"/>
    <w:rsid w:val="6B5D790C"/>
    <w:rsid w:val="6C1643F1"/>
    <w:rsid w:val="6C7066E3"/>
    <w:rsid w:val="6D8768BE"/>
    <w:rsid w:val="6D8A12B0"/>
    <w:rsid w:val="6FC127B6"/>
    <w:rsid w:val="713B39B1"/>
    <w:rsid w:val="71E3614A"/>
    <w:rsid w:val="72A3248D"/>
    <w:rsid w:val="74CB49C8"/>
    <w:rsid w:val="74D55CD4"/>
    <w:rsid w:val="755935A2"/>
    <w:rsid w:val="75CB6BDC"/>
    <w:rsid w:val="775560A5"/>
    <w:rsid w:val="78093B6A"/>
    <w:rsid w:val="781625C7"/>
    <w:rsid w:val="781F488D"/>
    <w:rsid w:val="78254940"/>
    <w:rsid w:val="783614EC"/>
    <w:rsid w:val="78435EFC"/>
    <w:rsid w:val="78447E4A"/>
    <w:rsid w:val="78553EEB"/>
    <w:rsid w:val="79440EAD"/>
    <w:rsid w:val="798E037A"/>
    <w:rsid w:val="7A326D82"/>
    <w:rsid w:val="7B2F3497"/>
    <w:rsid w:val="7B38234C"/>
    <w:rsid w:val="7BAB75E0"/>
    <w:rsid w:val="7BD81EE7"/>
    <w:rsid w:val="7C5D5623"/>
    <w:rsid w:val="7E0B3B63"/>
    <w:rsid w:val="7E626D2F"/>
    <w:rsid w:val="7EA47E15"/>
    <w:rsid w:val="7FA0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120"/>
      <w:jc w:val="left"/>
      <w:outlineLvl w:val="3"/>
    </w:pPr>
    <w:rPr>
      <w:rFonts w:ascii="宋体" w:hAnsi="Arial" w:eastAsia="黑体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99"/>
    <w:rPr>
      <w:rFonts w:ascii="宋体" w:hAnsi="宋体"/>
      <w:color w:val="0000FF"/>
      <w:sz w:val="28"/>
    </w:rPr>
  </w:style>
  <w:style w:type="paragraph" w:styleId="6">
    <w:name w:val="toc 5"/>
    <w:basedOn w:val="1"/>
    <w:next w:val="1"/>
    <w:qFormat/>
    <w:uiPriority w:val="39"/>
    <w:pPr>
      <w:spacing w:line="240" w:lineRule="auto"/>
      <w:ind w:left="1680" w:leftChars="800"/>
    </w:pPr>
    <w:rPr>
      <w:rFonts w:ascii="Calibri" w:hAnsi="Calibri"/>
    </w:r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next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"/>
    <w:basedOn w:val="5"/>
    <w:next w:val="1"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表格文字"/>
    <w:basedOn w:val="1"/>
    <w:qFormat/>
    <w:uiPriority w:val="99"/>
    <w:pPr>
      <w:spacing w:before="25" w:after="25" w:line="300" w:lineRule="auto"/>
    </w:pPr>
    <w:rPr>
      <w:rFonts w:ascii="Times" w:hAnsi="Times"/>
      <w:spacing w:val="10"/>
      <w:sz w:val="24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902</Words>
  <Characters>912</Characters>
  <Lines>0</Lines>
  <Paragraphs>0</Paragraphs>
  <TotalTime>5</TotalTime>
  <ScaleCrop>false</ScaleCrop>
  <LinksUpToDate>false</LinksUpToDate>
  <CharactersWithSpaces>912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2025-03-12T09:12:00Z</dcterms:created>
  <dc:creator>Administrator</dc:creator>
  <cp:lastModifiedBy>秦欣</cp:lastModifiedBy>
  <cp:lastPrinted>2026-02-05T03:05:00Z</cp:lastPrinted>
  <dcterms:modified xsi:type="dcterms:W3CDTF">2026-02-06T08:55:40Z</dcterms:modified>
  <dc:title>2025年中山市“百校千企万岗”专场引才活动采购项目需求书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eyJoZGlkIjoiZDUyMDNjMjA5MzZlNzkwZDc5NGExOWE4MGU5NTg1OWYiLCJ1c2VySWQiOiI3MDAyNjc1NDEifQ==</vt:lpwstr>
  </property>
  <property fmtid="{D5CDD505-2E9C-101B-9397-08002B2CF9AE}" pid="4" name="ICV">
    <vt:lpwstr>A5CBFB7BB5B84C98A4F34F0F04FF77ED_13</vt:lpwstr>
  </property>
</Properties>
</file>