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Lines="0" w:after="0" w:afterLines="0" w:line="560" w:lineRule="atLeast"/>
        <w:jc w:val="left"/>
        <w:rPr>
          <w:rFonts w:hint="eastAsia" w:ascii="黑体" w:hAnsi="黑体" w:eastAsia="黑体" w:cs="黑体"/>
          <w:b w:val="0"/>
          <w:bCs w:val="0"/>
          <w:color w:val="auto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-6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pacing w:val="-6"/>
          <w:sz w:val="32"/>
          <w:szCs w:val="32"/>
          <w:highlight w:val="none"/>
          <w:lang w:val="en-US" w:eastAsia="zh-CN"/>
        </w:rPr>
        <w:t>2</w:t>
      </w:r>
    </w:p>
    <w:p>
      <w:pPr>
        <w:widowControl w:val="0"/>
        <w:spacing w:beforeLines="0" w:after="0" w:afterLines="0" w:line="560" w:lineRule="atLeast"/>
        <w:jc w:val="center"/>
        <w:rPr>
          <w:rFonts w:hint="eastAsia" w:ascii="方正小标宋简体" w:hAnsi="宋体" w:eastAsia="方正小标宋简体" w:cs="Times New Roman"/>
          <w:color w:val="auto"/>
          <w:spacing w:val="-6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宋体" w:eastAsia="方正小标宋简体" w:cs="Times New Roman"/>
          <w:color w:val="auto"/>
          <w:spacing w:val="-6"/>
          <w:sz w:val="44"/>
          <w:szCs w:val="44"/>
          <w:highlight w:val="none"/>
          <w:lang w:eastAsia="zh-CN"/>
        </w:rPr>
        <w:t>中山市社保卡合作银行医保</w:t>
      </w:r>
    </w:p>
    <w:p>
      <w:pPr>
        <w:widowControl w:val="0"/>
        <w:spacing w:beforeLines="0" w:after="0" w:afterLines="0" w:line="560" w:lineRule="atLeast"/>
        <w:jc w:val="center"/>
        <w:rPr>
          <w:rFonts w:hint="eastAsia" w:ascii="方正小标宋简体" w:hAnsi="宋体" w:eastAsia="方正小标宋简体" w:cs="Times New Roman"/>
          <w:color w:val="auto"/>
          <w:spacing w:val="-6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宋体" w:eastAsia="方正小标宋简体" w:cs="Times New Roman"/>
          <w:color w:val="auto"/>
          <w:spacing w:val="-6"/>
          <w:sz w:val="44"/>
          <w:szCs w:val="44"/>
          <w:highlight w:val="none"/>
          <w:lang w:eastAsia="zh-CN"/>
        </w:rPr>
        <w:t>应用场景准入要求</w:t>
      </w:r>
      <w:bookmarkStart w:id="2" w:name="_GoBack"/>
      <w:bookmarkEnd w:id="2"/>
    </w:p>
    <w:p>
      <w:pPr>
        <w:widowControl w:val="0"/>
        <w:spacing w:beforeLines="0" w:after="0" w:afterLines="0" w:line="560" w:lineRule="atLeast"/>
        <w:ind w:left="0" w:leftChars="0" w:firstLine="616" w:firstLineChars="200"/>
        <w:rPr>
          <w:rFonts w:hint="eastAsia" w:ascii="黑体" w:hAnsi="黑体" w:eastAsia="黑体" w:cs="黑体"/>
          <w:spacing w:val="-6"/>
          <w:sz w:val="32"/>
          <w:szCs w:val="32"/>
        </w:rPr>
      </w:pPr>
    </w:p>
    <w:p>
      <w:pPr>
        <w:widowControl w:val="0"/>
        <w:spacing w:beforeLines="0" w:after="0" w:afterLines="0" w:line="560" w:lineRule="atLeast"/>
        <w:ind w:left="0" w:leftChars="0" w:firstLine="0" w:firstLineChars="0"/>
        <w:rPr>
          <w:rFonts w:hint="eastAsia" w:ascii="黑体" w:hAnsi="黑体" w:eastAsia="黑体" w:cs="黑体"/>
          <w:spacing w:val="-6"/>
          <w:sz w:val="32"/>
          <w:szCs w:val="32"/>
        </w:rPr>
      </w:pPr>
      <w:bookmarkStart w:id="0" w:name="OLE_LINK3"/>
      <w:r>
        <w:rPr>
          <w:rFonts w:hint="eastAsia" w:ascii="黑体" w:hAnsi="黑体" w:eastAsia="黑体" w:cs="黑体"/>
          <w:spacing w:val="-6"/>
          <w:sz w:val="32"/>
          <w:szCs w:val="32"/>
          <w:lang w:eastAsia="zh-CN"/>
        </w:rPr>
        <w:t>　　</w:t>
      </w:r>
      <w:r>
        <w:rPr>
          <w:rFonts w:hint="eastAsia" w:ascii="黑体" w:hAnsi="黑体" w:eastAsia="黑体" w:cs="黑体"/>
          <w:spacing w:val="-6"/>
          <w:sz w:val="32"/>
          <w:szCs w:val="32"/>
        </w:rPr>
        <w:t>一、基础资质要求</w:t>
      </w:r>
    </w:p>
    <w:p>
      <w:pPr>
        <w:widowControl w:val="0"/>
        <w:spacing w:beforeLines="0" w:after="0" w:afterLines="0" w:line="560" w:lineRule="atLeast"/>
        <w:ind w:left="0" w:leftChars="0" w:firstLine="616" w:firstLineChars="200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作为社保卡合作银行，须满足以下基础合规与管理条件：</w:t>
      </w:r>
    </w:p>
    <w:p>
      <w:pPr>
        <w:widowControl w:val="0"/>
        <w:numPr>
          <w:ilvl w:val="0"/>
          <w:numId w:val="7"/>
        </w:numPr>
        <w:spacing w:beforeLines="0" w:after="0" w:afterLines="0" w:line="560" w:lineRule="atLeast"/>
        <w:ind w:left="0" w:leftChars="0" w:firstLine="616" w:firstLineChars="200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为在中华人民共和国境内依法注册的中资商业银行，持有合法有效的金融许可证，并在中山市辖内设有已完成工商登记注册的分支机构。</w:t>
      </w:r>
    </w:p>
    <w:p>
      <w:pPr>
        <w:widowControl w:val="0"/>
        <w:numPr>
          <w:ilvl w:val="0"/>
          <w:numId w:val="7"/>
        </w:numPr>
        <w:spacing w:beforeLines="0" w:after="0" w:afterLines="0" w:line="560" w:lineRule="atLeast"/>
        <w:ind w:left="0" w:leftChars="0" w:firstLine="616" w:firstLineChars="200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近五年内无重大金融违法违规行为、重大财经失信事件，且未被金融监管及相关行业主管部门给予行政处罚。​</w:t>
      </w:r>
    </w:p>
    <w:p>
      <w:pPr>
        <w:widowControl w:val="0"/>
        <w:numPr>
          <w:ilvl w:val="0"/>
          <w:numId w:val="7"/>
        </w:numPr>
        <w:spacing w:beforeLines="0" w:after="0" w:afterLines="0" w:line="560" w:lineRule="atLeast"/>
        <w:ind w:left="0" w:leftChars="0" w:firstLine="616" w:firstLineChars="200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建立健全医保业务专项管理制度体系，包含医保业务操作规范、财务内控管理、风险防控机制等内容，确保医保业务全流程合规、有序运行。</w:t>
      </w:r>
    </w:p>
    <w:p>
      <w:pPr>
        <w:widowControl w:val="0"/>
        <w:spacing w:beforeLines="0" w:after="0" w:afterLines="0" w:line="560" w:lineRule="atLeast"/>
        <w:ind w:left="0" w:leftChars="0" w:firstLine="0" w:firstLineChars="0"/>
        <w:rPr>
          <w:rFonts w:hint="eastAsia" w:ascii="黑体" w:hAnsi="黑体" w:eastAsia="黑体" w:cs="黑体"/>
          <w:spacing w:val="-6"/>
          <w:sz w:val="32"/>
          <w:szCs w:val="32"/>
        </w:rPr>
      </w:pPr>
      <w:r>
        <w:rPr>
          <w:rFonts w:hint="eastAsia" w:ascii="黑体" w:hAnsi="黑体" w:eastAsia="黑体" w:cs="黑体"/>
          <w:spacing w:val="-6"/>
          <w:sz w:val="32"/>
          <w:szCs w:val="32"/>
          <w:lang w:eastAsia="zh-CN"/>
        </w:rPr>
        <w:t>　　</w:t>
      </w:r>
      <w:r>
        <w:rPr>
          <w:rFonts w:hint="eastAsia" w:ascii="黑体" w:hAnsi="黑体" w:eastAsia="黑体" w:cs="黑体"/>
          <w:spacing w:val="-6"/>
          <w:sz w:val="32"/>
          <w:szCs w:val="32"/>
        </w:rPr>
        <w:t>二、业务服务要求</w:t>
      </w:r>
    </w:p>
    <w:p>
      <w:pPr>
        <w:widowControl w:val="0"/>
        <w:spacing w:beforeLines="0" w:after="0" w:afterLines="0" w:line="560" w:lineRule="atLeast"/>
        <w:ind w:left="0" w:leftChars="0" w:firstLine="0" w:firstLineChars="0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eastAsia="仿宋_GB2312" w:cs="仿宋_GB2312"/>
          <w:spacing w:val="-6"/>
          <w:sz w:val="32"/>
          <w:szCs w:val="32"/>
          <w:lang w:eastAsia="zh-CN"/>
        </w:rPr>
        <w:t>　　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为保障医保服务落地见效，合作银行需满足以下业务能力与服务标准：</w:t>
      </w:r>
    </w:p>
    <w:p>
      <w:pPr>
        <w:widowControl w:val="0"/>
        <w:numPr>
          <w:ilvl w:val="0"/>
          <w:numId w:val="8"/>
        </w:numPr>
        <w:spacing w:beforeLines="0" w:after="0" w:afterLines="0" w:line="560" w:lineRule="atLeast"/>
        <w:ind w:left="0" w:leftChars="0" w:firstLine="616" w:firstLineChars="200"/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严格执行国家、省有关医疗保险的法律、法规、制度，保障职工医保个人账户基金安全，并为中山市基本医疗保险参保人提供优质服务。</w:t>
      </w:r>
    </w:p>
    <w:p>
      <w:pPr>
        <w:widowControl w:val="0"/>
        <w:numPr>
          <w:ilvl w:val="0"/>
          <w:numId w:val="8"/>
        </w:numPr>
        <w:spacing w:beforeLines="0" w:after="0" w:afterLines="0" w:line="560" w:lineRule="atLeast"/>
        <w:ind w:left="0" w:leftChars="0" w:firstLine="616" w:firstLineChars="200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配备专职医保业务团队，人员需熟悉医保政策及业务流程，具备保障医保业务日常办理、问题响应的服务能力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。</w:t>
      </w:r>
    </w:p>
    <w:p>
      <w:pPr>
        <w:widowControl w:val="0"/>
        <w:numPr>
          <w:ilvl w:val="0"/>
          <w:numId w:val="8"/>
        </w:numPr>
        <w:spacing w:beforeLines="0" w:after="0" w:afterLines="0" w:line="560" w:lineRule="atLeast"/>
        <w:ind w:left="0" w:leftChars="0" w:firstLine="616" w:firstLineChars="200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提供多元化医保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个人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账户查询服务渠道，包括营业网点柜面查询、自助服务终端、手机银行APP、微信小程序等，方便参保人员实时、便捷查询个人账户余额及相关信息。</w:t>
      </w:r>
    </w:p>
    <w:p>
      <w:pPr>
        <w:widowControl w:val="0"/>
        <w:numPr>
          <w:ilvl w:val="0"/>
          <w:numId w:val="8"/>
        </w:numPr>
        <w:spacing w:beforeLines="0" w:after="0" w:afterLines="0" w:line="560" w:lineRule="atLeast"/>
        <w:ind w:left="0" w:leftChars="0" w:firstLine="616" w:firstLineChars="200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按照市医疗保障部门部署，落实医保电子凭证激活及推广工作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。</w:t>
      </w:r>
    </w:p>
    <w:p>
      <w:pPr>
        <w:widowControl w:val="0"/>
        <w:numPr>
          <w:ilvl w:val="0"/>
          <w:numId w:val="8"/>
        </w:numPr>
        <w:spacing w:beforeLines="0" w:after="0" w:afterLines="0" w:line="560" w:lineRule="atLeast"/>
        <w:ind w:left="0" w:leftChars="0" w:firstLine="616" w:firstLineChars="200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推进医保个人账户异地家庭共济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相关业务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。</w:t>
      </w:r>
    </w:p>
    <w:p>
      <w:pPr>
        <w:widowControl w:val="0"/>
        <w:numPr>
          <w:ilvl w:val="0"/>
          <w:numId w:val="8"/>
        </w:numPr>
        <w:spacing w:beforeLines="0" w:after="0" w:afterLines="0" w:line="560" w:lineRule="atLeast"/>
        <w:ind w:left="0" w:leftChars="0" w:firstLine="616" w:firstLineChars="200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配合</w:t>
      </w:r>
      <w:r>
        <w:rPr>
          <w:rFonts w:hint="eastAsia" w:ascii="仿宋_GB2312" w:hAnsi="Times New Roman" w:eastAsia="仿宋_GB2312"/>
          <w:color w:val="auto"/>
          <w:spacing w:val="-6"/>
          <w:sz w:val="32"/>
          <w:szCs w:val="32"/>
          <w:highlight w:val="none"/>
          <w:lang w:val="en-US" w:eastAsia="zh-CN"/>
        </w:rPr>
        <w:t>开展医保个账业务，支持医保个账的计入和使用、跨行转移、无卡建账免激活（跨市激活）等服务。</w:t>
      </w:r>
    </w:p>
    <w:p>
      <w:pPr>
        <w:widowControl w:val="0"/>
        <w:numPr>
          <w:ilvl w:val="0"/>
          <w:numId w:val="8"/>
        </w:numPr>
        <w:spacing w:beforeLines="0" w:after="0" w:afterLines="0" w:line="560" w:lineRule="atLeast"/>
        <w:ind w:left="0" w:leftChars="0" w:firstLine="616" w:firstLineChars="200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配合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医保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经办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机构开展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医保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个人账户对账工作，及时协助处理对账过程中的疑问、差错及异常情况，确保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医保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个人账户资金管理规范、准确。</w:t>
      </w:r>
    </w:p>
    <w:p>
      <w:pPr>
        <w:widowControl w:val="0"/>
        <w:spacing w:beforeLines="0" w:after="0" w:afterLines="0" w:line="560" w:lineRule="atLeast"/>
        <w:ind w:left="0" w:leftChars="0" w:firstLine="616" w:firstLineChars="200"/>
        <w:rPr>
          <w:rFonts w:hint="eastAsia" w:ascii="黑体" w:hAnsi="黑体" w:eastAsia="黑体" w:cs="黑体"/>
          <w:spacing w:val="-6"/>
          <w:sz w:val="32"/>
          <w:szCs w:val="32"/>
        </w:rPr>
      </w:pPr>
      <w:bookmarkStart w:id="1" w:name="OLE_LINK2"/>
      <w:r>
        <w:rPr>
          <w:rFonts w:hint="eastAsia" w:ascii="黑体" w:hAnsi="黑体" w:eastAsia="黑体" w:cs="黑体"/>
          <w:spacing w:val="-6"/>
          <w:sz w:val="32"/>
          <w:szCs w:val="32"/>
        </w:rPr>
        <w:t>三、信息系统与数据管理要求</w:t>
      </w:r>
    </w:p>
    <w:p>
      <w:pPr>
        <w:widowControl w:val="0"/>
        <w:spacing w:beforeLines="0" w:after="0" w:afterLines="0" w:line="560" w:lineRule="atLeast"/>
        <w:ind w:left="0" w:leftChars="0" w:firstLine="616" w:firstLineChars="200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为保障医保数据安全传输及业务高效协同，合作银行信息系统须严格遵守以下技术及管理规范：</w:t>
      </w:r>
    </w:p>
    <w:p>
      <w:pPr>
        <w:widowControl w:val="0"/>
        <w:numPr>
          <w:ilvl w:val="0"/>
          <w:numId w:val="9"/>
        </w:numPr>
        <w:spacing w:beforeLines="0" w:after="0" w:afterLines="0" w:line="560" w:lineRule="atLeast"/>
        <w:ind w:left="0" w:leftChars="0" w:firstLine="616" w:firstLineChars="200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按照省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市医疗保障经办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业务规范，自主完成医保业务功能开发及系统对接工作。</w:t>
      </w:r>
    </w:p>
    <w:p>
      <w:pPr>
        <w:widowControl w:val="0"/>
        <w:numPr>
          <w:ilvl w:val="0"/>
          <w:numId w:val="9"/>
        </w:numPr>
        <w:spacing w:beforeLines="0" w:after="0" w:afterLines="0" w:line="560" w:lineRule="atLeast"/>
        <w:ind w:left="0" w:leftChars="0" w:firstLine="616" w:firstLineChars="200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为确保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市医疗保障经办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业务数据实时、高效处理，按要求完成相关业务全流程测试。</w:t>
      </w:r>
    </w:p>
    <w:p>
      <w:pPr>
        <w:widowControl w:val="0"/>
        <w:numPr>
          <w:ilvl w:val="0"/>
          <w:numId w:val="9"/>
        </w:numPr>
        <w:spacing w:beforeLines="0" w:after="0" w:afterLines="0" w:line="560" w:lineRule="atLeast"/>
        <w:ind w:left="0" w:leftChars="0" w:firstLine="616" w:firstLineChars="200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规范开展医保资金转账服务，建立快速划转机制，保障资金及时到账，杜绝拖延、积压问题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。</w:t>
      </w:r>
    </w:p>
    <w:p>
      <w:pPr>
        <w:widowControl w:val="0"/>
        <w:numPr>
          <w:ilvl w:val="0"/>
          <w:numId w:val="9"/>
        </w:numPr>
        <w:spacing w:beforeLines="0" w:after="0" w:afterLines="0" w:line="560" w:lineRule="atLeast"/>
        <w:ind w:left="0" w:leftChars="0" w:firstLine="616" w:firstLineChars="200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须与中山市医疗保障局签订保密协议，严禁泄露医保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个人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账户信息，严禁将相关数据挪作他用。</w:t>
      </w:r>
      <w:bookmarkEnd w:id="0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atLeast"/>
        <w:jc w:val="center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</w:p>
    <w:sectPr>
      <w:footerReference r:id="rId5" w:type="default"/>
      <w:pgSz w:w="12240" w:h="15840"/>
      <w:pgMar w:top="2098" w:right="1701" w:bottom="1984" w:left="1701" w:header="1417" w:footer="1701" w:gutter="0"/>
      <w:pgNumType w:fmt="numberInDash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MS Mincho">
    <w:panose1 w:val="02020609040205080304"/>
    <w:charset w:val="86"/>
    <w:family w:val="auto"/>
    <w:pitch w:val="default"/>
    <w:sig w:usb0="E00002FF" w:usb1="6AC7FDFB" w:usb2="00000012" w:usb3="00000000" w:csb0="4002009F" w:csb1="DFD7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Courier">
    <w:altName w:val="Courier New"/>
    <w:panose1 w:val="020272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5F6371"/>
    <w:multiLevelType w:val="singleLevel"/>
    <w:tmpl w:val="A05F6371"/>
    <w:lvl w:ilvl="0" w:tentative="0">
      <w:start w:val="1"/>
      <w:numFmt w:val="decimal"/>
      <w:suff w:val="nothing"/>
      <w:lvlText w:val="%1."/>
      <w:lvlJc w:val="left"/>
      <w:pPr>
        <w:ind w:left="1265" w:hanging="425"/>
      </w:pPr>
      <w:rPr>
        <w:rFonts w:hint="default"/>
      </w:rPr>
    </w:lvl>
  </w:abstractNum>
  <w:abstractNum w:abstractNumId="1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2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3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4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5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6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7">
    <w:nsid w:val="15C843B6"/>
    <w:multiLevelType w:val="singleLevel"/>
    <w:tmpl w:val="15C843B6"/>
    <w:lvl w:ilvl="0" w:tentative="0">
      <w:start w:val="1"/>
      <w:numFmt w:val="decimal"/>
      <w:suff w:val="nothing"/>
      <w:lvlText w:val="%1."/>
      <w:lvlJc w:val="left"/>
      <w:pPr>
        <w:ind w:left="1265" w:hanging="425"/>
      </w:pPr>
      <w:rPr>
        <w:rFonts w:hint="default"/>
      </w:rPr>
    </w:lvl>
  </w:abstractNum>
  <w:abstractNum w:abstractNumId="8">
    <w:nsid w:val="29E92735"/>
    <w:multiLevelType w:val="singleLevel"/>
    <w:tmpl w:val="29E92735"/>
    <w:lvl w:ilvl="0" w:tentative="0">
      <w:start w:val="1"/>
      <w:numFmt w:val="decimal"/>
      <w:suff w:val="nothing"/>
      <w:lvlText w:val="%1."/>
      <w:lvlJc w:val="left"/>
      <w:pPr>
        <w:ind w:left="1265" w:hanging="425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25707E4"/>
    <w:rsid w:val="2A5B47B4"/>
    <w:rsid w:val="2CFE4F37"/>
    <w:rsid w:val="32CE73BB"/>
    <w:rsid w:val="3F875B52"/>
    <w:rsid w:val="510607AC"/>
    <w:rsid w:val="537922FE"/>
    <w:rsid w:val="56790825"/>
    <w:rsid w:val="5C547EFE"/>
    <w:rsid w:val="5DB7339E"/>
    <w:rsid w:val="5DEA05C0"/>
    <w:rsid w:val="5F62C6A7"/>
    <w:rsid w:val="6E2860C8"/>
    <w:rsid w:val="EEF335FD"/>
    <w:rsid w:val="FF7FF49E"/>
    <w:rsid w:val="FFF7E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76" w:lineRule="auto"/>
    </w:pPr>
    <w:rPr>
      <w:rFonts w:ascii="仿宋_GB2312" w:hAnsi="仿宋_GB2312" w:eastAsiaTheme="minorEastAsia" w:cstheme="minorBidi"/>
      <w:sz w:val="24"/>
      <w:szCs w:val="22"/>
      <w:lang w:val="en-US" w:eastAsia="en-US" w:bidi="ar-SA"/>
    </w:rPr>
  </w:style>
  <w:style w:type="paragraph" w:styleId="4">
    <w:name w:val="heading 1"/>
    <w:basedOn w:val="1"/>
    <w:next w:val="1"/>
    <w:link w:val="139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2">
    <w:name w:val="heading 2"/>
    <w:basedOn w:val="1"/>
    <w:next w:val="1"/>
    <w:link w:val="140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1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1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2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3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4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5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6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3">
    <w:name w:val="Default Paragraph Font"/>
    <w:unhideWhenUsed/>
    <w:qFormat/>
    <w:uiPriority w:val="1"/>
  </w:style>
  <w:style w:type="table" w:default="1" w:styleId="3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macro"/>
    <w:link w:val="148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7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5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3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6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31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2">
    <w:name w:val="Title"/>
    <w:basedOn w:val="1"/>
    <w:next w:val="1"/>
    <w:link w:val="142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4">
    <w:name w:val="Table Grid"/>
    <w:basedOn w:val="3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5">
    <w:name w:val="Light Shading"/>
    <w:basedOn w:val="33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6">
    <w:name w:val="Light Shading Accent 1"/>
    <w:basedOn w:val="33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7">
    <w:name w:val="Light Shading Accent 2"/>
    <w:basedOn w:val="33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8">
    <w:name w:val="Light Shading Accent 3"/>
    <w:basedOn w:val="33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9">
    <w:name w:val="Light Shading Accent 4"/>
    <w:basedOn w:val="33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0">
    <w:name w:val="Light Shading Accent 5"/>
    <w:basedOn w:val="33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1">
    <w:name w:val="Light Shading Accent 6"/>
    <w:basedOn w:val="33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2">
    <w:name w:val="Light List"/>
    <w:basedOn w:val="33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3">
    <w:name w:val="Light List Accent 1"/>
    <w:basedOn w:val="33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4">
    <w:name w:val="Light List Accent 2"/>
    <w:basedOn w:val="33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5">
    <w:name w:val="Light List Accent 3"/>
    <w:basedOn w:val="33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6">
    <w:name w:val="Light List Accent 4"/>
    <w:basedOn w:val="33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7">
    <w:name w:val="Light List Accent 5"/>
    <w:basedOn w:val="33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8">
    <w:name w:val="Light List Accent 6"/>
    <w:basedOn w:val="33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9">
    <w:name w:val="Light Grid"/>
    <w:basedOn w:val="33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0">
    <w:name w:val="Light Grid Accent 1"/>
    <w:basedOn w:val="33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1">
    <w:name w:val="Light Grid Accent 2"/>
    <w:basedOn w:val="33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2">
    <w:name w:val="Light Grid Accent 3"/>
    <w:basedOn w:val="33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3">
    <w:name w:val="Light Grid Accent 4"/>
    <w:basedOn w:val="33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4">
    <w:name w:val="Light Grid Accent 5"/>
    <w:basedOn w:val="33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5">
    <w:name w:val="Light Grid Accent 6"/>
    <w:basedOn w:val="33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6">
    <w:name w:val="Medium Shading 1"/>
    <w:basedOn w:val="33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1"/>
    <w:basedOn w:val="33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2"/>
    <w:basedOn w:val="33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3"/>
    <w:basedOn w:val="33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4"/>
    <w:basedOn w:val="33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5"/>
    <w:basedOn w:val="33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6"/>
    <w:basedOn w:val="33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2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1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2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3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4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5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6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List 1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1">
    <w:name w:val="Medium List 1 Accent 1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2">
    <w:name w:val="Medium List 1 Accent 2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3">
    <w:name w:val="Medium List 1 Accent 3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4">
    <w:name w:val="Medium List 1 Accent 4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5">
    <w:name w:val="Medium List 1 Accent 5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6">
    <w:name w:val="Medium List 1 Accent 6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7">
    <w:name w:val="Medium List 2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1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2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3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4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5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6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Grid 1"/>
    <w:basedOn w:val="33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5">
    <w:name w:val="Medium Grid 1 Accent 1"/>
    <w:basedOn w:val="33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6">
    <w:name w:val="Medium Grid 1 Accent 2"/>
    <w:basedOn w:val="33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7">
    <w:name w:val="Medium Grid 1 Accent 3"/>
    <w:basedOn w:val="33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8">
    <w:name w:val="Medium Grid 1 Accent 4"/>
    <w:basedOn w:val="33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9">
    <w:name w:val="Medium Grid 1 Accent 5"/>
    <w:basedOn w:val="33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0">
    <w:name w:val="Medium Grid 1 Accent 6"/>
    <w:basedOn w:val="33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3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9">
    <w:name w:val="Medium Grid 3 Accent 1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0">
    <w:name w:val="Medium Grid 3 Accent 2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1">
    <w:name w:val="Medium Grid 3 Accent 3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2">
    <w:name w:val="Medium Grid 3 Accent 4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3">
    <w:name w:val="Medium Grid 3 Accent 5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4">
    <w:name w:val="Medium Grid 3 Accent 6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5">
    <w:name w:val="Dark List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6">
    <w:name w:val="Dark List Accent 1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7">
    <w:name w:val="Dark List Accent 2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8">
    <w:name w:val="Dark List Accent 3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9">
    <w:name w:val="Dark List Accent 4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0">
    <w:name w:val="Dark List Accent 5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1">
    <w:name w:val="Dark List Accent 6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2">
    <w:name w:val="Colorful Shading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1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2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3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6">
    <w:name w:val="Colorful Shading Accent 4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5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Shading Accent 6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List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0">
    <w:name w:val="Colorful List Accent 1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1">
    <w:name w:val="Colorful List Accent 2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2">
    <w:name w:val="Colorful List Accent 3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3">
    <w:name w:val="Colorful List Accent 4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4">
    <w:name w:val="Colorful List Accent 5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5">
    <w:name w:val="Colorful List Accent 6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6">
    <w:name w:val="Colorful Grid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7">
    <w:name w:val="Colorful Grid Accent 1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8">
    <w:name w:val="Colorful Grid Accent 2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9">
    <w:name w:val="Colorful Grid Accent 3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0">
    <w:name w:val="Colorful Grid Accent 4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1">
    <w:name w:val="Colorful Grid Accent 5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2">
    <w:name w:val="Colorful Grid Accent 6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4">
    <w:name w:val="Strong"/>
    <w:basedOn w:val="133"/>
    <w:qFormat/>
    <w:uiPriority w:val="22"/>
    <w:rPr>
      <w:b/>
      <w:bCs/>
    </w:rPr>
  </w:style>
  <w:style w:type="character" w:styleId="135">
    <w:name w:val="Emphasis"/>
    <w:basedOn w:val="133"/>
    <w:qFormat/>
    <w:uiPriority w:val="20"/>
    <w:rPr>
      <w:i/>
      <w:iCs/>
    </w:rPr>
  </w:style>
  <w:style w:type="character" w:customStyle="1" w:styleId="136">
    <w:name w:val="Header Char"/>
    <w:basedOn w:val="133"/>
    <w:link w:val="25"/>
    <w:qFormat/>
    <w:uiPriority w:val="99"/>
  </w:style>
  <w:style w:type="character" w:customStyle="1" w:styleId="137">
    <w:name w:val="Footer Char"/>
    <w:basedOn w:val="133"/>
    <w:link w:val="24"/>
    <w:qFormat/>
    <w:uiPriority w:val="99"/>
  </w:style>
  <w:style w:type="paragraph" w:customStyle="1" w:styleId="138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9">
    <w:name w:val="Heading 1 Char"/>
    <w:basedOn w:val="133"/>
    <w:link w:val="4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40">
    <w:name w:val="Heading 2 Char"/>
    <w:basedOn w:val="133"/>
    <w:link w:val="2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1">
    <w:name w:val="Heading 3 Char"/>
    <w:basedOn w:val="133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2">
    <w:name w:val="Title Char"/>
    <w:basedOn w:val="133"/>
    <w:link w:val="32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3">
    <w:name w:val="Subtitle Char"/>
    <w:basedOn w:val="133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customStyle="1" w:styleId="144">
    <w:name w:val="List Paragraph"/>
    <w:basedOn w:val="1"/>
    <w:qFormat/>
    <w:uiPriority w:val="34"/>
    <w:pPr>
      <w:ind w:left="720"/>
      <w:contextualSpacing/>
    </w:pPr>
  </w:style>
  <w:style w:type="character" w:customStyle="1" w:styleId="145">
    <w:name w:val="Body Text Char"/>
    <w:basedOn w:val="133"/>
    <w:link w:val="19"/>
    <w:qFormat/>
    <w:uiPriority w:val="99"/>
  </w:style>
  <w:style w:type="character" w:customStyle="1" w:styleId="146">
    <w:name w:val="Body Text 2 Char"/>
    <w:basedOn w:val="133"/>
    <w:link w:val="28"/>
    <w:qFormat/>
    <w:uiPriority w:val="99"/>
  </w:style>
  <w:style w:type="character" w:customStyle="1" w:styleId="147">
    <w:name w:val="Body Text 3 Char"/>
    <w:basedOn w:val="133"/>
    <w:link w:val="17"/>
    <w:qFormat/>
    <w:uiPriority w:val="99"/>
    <w:rPr>
      <w:sz w:val="16"/>
      <w:szCs w:val="16"/>
    </w:rPr>
  </w:style>
  <w:style w:type="character" w:customStyle="1" w:styleId="148">
    <w:name w:val="Macro Text Char"/>
    <w:basedOn w:val="133"/>
    <w:link w:val="3"/>
    <w:qFormat/>
    <w:uiPriority w:val="99"/>
    <w:rPr>
      <w:rFonts w:ascii="Courier" w:hAnsi="Courier"/>
      <w:sz w:val="20"/>
      <w:szCs w:val="20"/>
    </w:rPr>
  </w:style>
  <w:style w:type="paragraph" w:customStyle="1" w:styleId="149">
    <w:name w:val="Quote"/>
    <w:basedOn w:val="1"/>
    <w:next w:val="1"/>
    <w:link w:val="15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Quote Char"/>
    <w:basedOn w:val="133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1">
    <w:name w:val="Heading 4 Char"/>
    <w:basedOn w:val="133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2">
    <w:name w:val="Heading 5 Char"/>
    <w:basedOn w:val="133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3">
    <w:name w:val="Heading 6 Char"/>
    <w:basedOn w:val="133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4">
    <w:name w:val="Heading 7 Char"/>
    <w:basedOn w:val="133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5">
    <w:name w:val="Heading 8 Char"/>
    <w:basedOn w:val="133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6">
    <w:name w:val="Heading 9 Char"/>
    <w:basedOn w:val="133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157">
    <w:name w:val="Intense Quote"/>
    <w:basedOn w:val="1"/>
    <w:next w:val="1"/>
    <w:link w:val="158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Intense Quote Char"/>
    <w:basedOn w:val="133"/>
    <w:link w:val="157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9">
    <w:name w:val="Subtle Emphasis"/>
    <w:basedOn w:val="133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60">
    <w:name w:val="Intense Emphasis"/>
    <w:basedOn w:val="133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1">
    <w:name w:val="Subtle Reference"/>
    <w:basedOn w:val="133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2">
    <w:name w:val="Intense Reference"/>
    <w:basedOn w:val="133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3">
    <w:name w:val="Book Title"/>
    <w:basedOn w:val="133"/>
    <w:qFormat/>
    <w:uiPriority w:val="33"/>
    <w:rPr>
      <w:b/>
      <w:bCs/>
      <w:smallCaps/>
      <w:spacing w:val="5"/>
    </w:rPr>
  </w:style>
  <w:style w:type="paragraph" w:customStyle="1" w:styleId="164">
    <w:name w:val="TOC Heading"/>
    <w:basedOn w:val="4"/>
    <w:next w:val="1"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StyleName="APA" SelectedStyle="/APA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1163</Words>
  <Characters>1169</Characters>
  <Lines>0</Lines>
  <Paragraphs>0</Paragraphs>
  <TotalTime>0</TotalTime>
  <ScaleCrop>false</ScaleCrop>
  <LinksUpToDate>false</LinksUpToDate>
  <CharactersWithSpaces>1177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2013-12-24T07:15:00Z</dcterms:created>
  <dc:creator>python-docx</dc:creator>
  <dc:description>generated by python-docx</dc:description>
  <cp:lastModifiedBy>梓麟</cp:lastModifiedBy>
  <cp:lastPrinted>2026-04-14T15:46:00Z</cp:lastPrinted>
  <dcterms:modified xsi:type="dcterms:W3CDTF">2026-04-20T08:51:21Z</dcterms:modified>
  <dc:title>中山市人力资源和社会保障局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eyJoZGlkIjoiODg1YjFhN2E0YjljZWI2Njc3MGUxZTVkMzk2YjNiY2MiLCJ1c2VySWQiOiIxMzEyMTQifQ==</vt:lpwstr>
  </property>
  <property fmtid="{D5CDD505-2E9C-101B-9397-08002B2CF9AE}" pid="3" name="KSOProductBuildVer">
    <vt:lpwstr>2052-11.8.2.12085</vt:lpwstr>
  </property>
  <property fmtid="{D5CDD505-2E9C-101B-9397-08002B2CF9AE}" pid="4" name="ICV">
    <vt:lpwstr>2F19BABC9267F9B13B5DDF69B0EBC525_43</vt:lpwstr>
  </property>
</Properties>
</file>