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4DAECC">
      <w:pPr>
        <w:rPr>
          <w:sz w:val="32"/>
          <w:szCs w:val="32"/>
        </w:rPr>
      </w:pPr>
    </w:p>
    <w:p w14:paraId="7689E660">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计算机等办公设备维护</w:t>
      </w:r>
      <w:r>
        <w:rPr>
          <w:rFonts w:hint="eastAsia" w:ascii="方正小标宋简体" w:hAnsi="方正小标宋简体" w:eastAsia="方正小标宋简体" w:cs="方正小标宋简体"/>
          <w:sz w:val="44"/>
          <w:szCs w:val="44"/>
          <w:lang w:val="en-US" w:eastAsia="zh-CN"/>
        </w:rPr>
        <w:t>保养服务</w:t>
      </w:r>
      <w:r>
        <w:rPr>
          <w:rFonts w:hint="eastAsia" w:ascii="方正小标宋简体" w:hAnsi="方正小标宋简体" w:eastAsia="方正小标宋简体" w:cs="方正小标宋简体"/>
          <w:sz w:val="44"/>
          <w:szCs w:val="44"/>
          <w:lang w:eastAsia="zh-CN"/>
        </w:rPr>
        <w:t>项目</w:t>
      </w:r>
    </w:p>
    <w:p w14:paraId="4DBA21C3">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用户需求书</w:t>
      </w:r>
    </w:p>
    <w:p w14:paraId="551BE040"/>
    <w:p w14:paraId="1EF52E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eastAsia="zh-CN"/>
        </w:rPr>
      </w:pPr>
      <w:r>
        <w:rPr>
          <w:rFonts w:hint="eastAsia" w:asciiTheme="minorEastAsia" w:hAnsiTheme="minorEastAsia" w:eastAsiaTheme="minorEastAsia" w:cstheme="minorEastAsia"/>
          <w:sz w:val="30"/>
          <w:szCs w:val="30"/>
          <w:lang w:val="en-US" w:eastAsia="zh-CN"/>
        </w:rPr>
        <w:t>一、</w:t>
      </w:r>
      <w:r>
        <w:rPr>
          <w:rFonts w:hint="eastAsia" w:asciiTheme="minorEastAsia" w:hAnsiTheme="minorEastAsia" w:eastAsiaTheme="minorEastAsia" w:cstheme="minorEastAsia"/>
          <w:sz w:val="30"/>
          <w:szCs w:val="30"/>
        </w:rPr>
        <w:t>项目</w:t>
      </w:r>
      <w:r>
        <w:rPr>
          <w:rFonts w:hint="eastAsia" w:asciiTheme="minorEastAsia" w:hAnsiTheme="minorEastAsia" w:eastAsiaTheme="minorEastAsia" w:cstheme="minorEastAsia"/>
          <w:sz w:val="30"/>
          <w:szCs w:val="30"/>
          <w:lang w:val="en-US" w:eastAsia="zh-CN"/>
        </w:rPr>
        <w:t>概况</w:t>
      </w:r>
      <w:r>
        <w:rPr>
          <w:rFonts w:hint="eastAsia" w:asciiTheme="minorEastAsia" w:hAnsiTheme="minorEastAsia" w:eastAsiaTheme="minorEastAsia" w:cstheme="minorEastAsia"/>
          <w:sz w:val="30"/>
          <w:szCs w:val="30"/>
          <w:lang w:eastAsia="zh-CN"/>
        </w:rPr>
        <w:t>：</w:t>
      </w:r>
    </w:p>
    <w:p w14:paraId="770FAE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1．项目名称：中山市社会保障局2026年度计算机设备维修和保养服务项目。</w:t>
      </w:r>
    </w:p>
    <w:p w14:paraId="5F48E99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2．项目实施地点：中山市社会保险基金管理局各办公点（包括：社保局市政府第二办公区、</w:t>
      </w:r>
      <w:r>
        <w:rPr>
          <w:rFonts w:hint="eastAsia" w:asciiTheme="minorEastAsia" w:hAnsiTheme="minorEastAsia" w:eastAsiaTheme="minorEastAsia" w:cstheme="minorEastAsia"/>
          <w:sz w:val="30"/>
          <w:szCs w:val="30"/>
          <w:highlight w:val="none"/>
          <w:lang w:val="en-US" w:eastAsia="zh-CN"/>
        </w:rPr>
        <w:t>市政务服务中心人社社保综合业务窗口</w:t>
      </w:r>
      <w:r>
        <w:rPr>
          <w:rFonts w:hint="eastAsia" w:asciiTheme="minorEastAsia" w:hAnsiTheme="minorEastAsia" w:eastAsiaTheme="minorEastAsia" w:cstheme="minorEastAsia"/>
          <w:sz w:val="30"/>
          <w:szCs w:val="30"/>
          <w:lang w:val="en-US" w:eastAsia="zh-CN"/>
        </w:rPr>
        <w:t>）。</w:t>
      </w:r>
    </w:p>
    <w:p w14:paraId="6947D24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3．项目服务内容：中山市社会保险基金管理局各办公点的计算机和打印机等办公设备日常维护保养、常用办公软件、视频会议系统和业务系统软件的安装调试以及各办公点的网络终端信息点的维护。</w:t>
      </w:r>
    </w:p>
    <w:p w14:paraId="2F3522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4．项目实施期限：2026 年 6月——2027年5月（共12个月），以合同签订时间为准。</w:t>
      </w:r>
    </w:p>
    <w:p w14:paraId="314491A4">
      <w:pPr>
        <w:pStyle w:val="2"/>
        <w:rPr>
          <w:rFonts w:hint="eastAsia"/>
          <w:lang w:val="en-US" w:eastAsia="zh-CN"/>
        </w:rPr>
      </w:pPr>
    </w:p>
    <w:p w14:paraId="03DFAD9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二、</w:t>
      </w:r>
      <w:r>
        <w:rPr>
          <w:rFonts w:hint="eastAsia" w:asciiTheme="minorEastAsia" w:hAnsiTheme="minorEastAsia" w:eastAsiaTheme="minorEastAsia" w:cstheme="minorEastAsia"/>
          <w:sz w:val="30"/>
          <w:szCs w:val="30"/>
        </w:rPr>
        <w:t>维护设备清单</w:t>
      </w:r>
    </w:p>
    <w:p w14:paraId="27A0316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电脑256台、打印机92台、复印机7台、传真机8台、扫描仪39台、碎纸机11台、投影仪2台、网络信息点220个。采购人有权在服务期内根据实际需求增减维护设备数量。</w:t>
      </w:r>
    </w:p>
    <w:p w14:paraId="0DBD6630">
      <w:pPr>
        <w:pStyle w:val="2"/>
        <w:rPr>
          <w:rFonts w:hint="eastAsia"/>
          <w:lang w:val="en-US" w:eastAsia="zh-CN"/>
        </w:rPr>
      </w:pPr>
    </w:p>
    <w:p w14:paraId="129D158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三、</w:t>
      </w:r>
      <w:r>
        <w:rPr>
          <w:rFonts w:hint="eastAsia" w:asciiTheme="minorEastAsia" w:hAnsiTheme="minorEastAsia" w:eastAsiaTheme="minorEastAsia" w:cstheme="minorEastAsia"/>
          <w:sz w:val="30"/>
          <w:szCs w:val="30"/>
        </w:rPr>
        <w:t>服务内容</w:t>
      </w:r>
    </w:p>
    <w:p w14:paraId="274AB16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1．成交供应商必须提供“维护设备清单”所列设备的维保服务，服务内容包括但不限于内置配件、外接显示器，以及网口、交换机、综合布线等网络设备及相关设施的维护保养。</w:t>
      </w:r>
    </w:p>
    <w:p w14:paraId="4B60B5C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2．日常维护与支持服务，包括电话支持、现场维护服务、现场备件更换维修服务、打印耗材更换服务、定期设备健康检查、系统软件升级、系统性能优化以及协助系统更新调整等。</w:t>
      </w:r>
    </w:p>
    <w:p w14:paraId="1D99450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3．成交供应商需按采购人要求提供驻场技术支持服务，具体要求详见第四项“服务要求”。</w:t>
      </w:r>
    </w:p>
    <w:p w14:paraId="5F2FFD1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4．根据采购人的需求，成交供应商需每隔一定时间（具体周期由采购人另行通知）对采购人的保修设备进行全面检查。提前诊断和处理可能存在的故障隐患，保障设备系统的稳健运转。</w:t>
      </w:r>
    </w:p>
    <w:p w14:paraId="31C870D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协助系统更新调整：成交供应商需根据采购人的要求，协助对所维护的设备进行硬件或软件的升级、改造和调整。具体工作内容包括系统结构调整、硬件的升级、调整及增减、软件的升级和降级、安装第三方软件以及安装业务系统软件等。同时，成交供应商需对由此产生的各种问题提出意见和解决方案，确保设备能够正常运行。</w:t>
      </w:r>
    </w:p>
    <w:p w14:paraId="2FE614F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6．在采购人召开视频会议时，成交供应商需派专人在现场提供技术支持，保障采购人与省厅以及采购人与各镇街分局间的视频会议正常进行。</w:t>
      </w:r>
    </w:p>
    <w:p w14:paraId="28A14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7．应急维护支持对采购人安排的突发和应急维护服务，成交供应商需提供除驻场技术员外的额外技术人员支持。</w:t>
      </w:r>
    </w:p>
    <w:p w14:paraId="6A201682">
      <w:pPr>
        <w:pStyle w:val="2"/>
        <w:rPr>
          <w:rFonts w:hint="eastAsia"/>
          <w:lang w:val="en-US" w:eastAsia="zh-CN"/>
        </w:rPr>
      </w:pPr>
    </w:p>
    <w:p w14:paraId="207904D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四、</w:t>
      </w:r>
      <w:r>
        <w:rPr>
          <w:rFonts w:hint="eastAsia" w:asciiTheme="minorEastAsia" w:hAnsiTheme="minorEastAsia" w:eastAsiaTheme="minorEastAsia" w:cstheme="minorEastAsia"/>
          <w:sz w:val="30"/>
          <w:szCs w:val="30"/>
        </w:rPr>
        <w:t>服务要求</w:t>
      </w:r>
    </w:p>
    <w:p w14:paraId="2DB5270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1.人员要求</w:t>
      </w:r>
    </w:p>
    <w:p w14:paraId="22DE1AB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（1）成交供应商应为本项目提供专业服务团队，该团队至少包含项目经理1名及固定维护人员1名（驻场人员）。</w:t>
      </w:r>
    </w:p>
    <w:p w14:paraId="495ED5D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（2）驻场人员必须为成交供应商公司的技术服务人员，并按国家相关规定落实服务人员权益保障，否则采购人有权拒绝支付合同款并终止合同。</w:t>
      </w:r>
    </w:p>
    <w:p w14:paraId="25ABAC0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（3）驻场人员必须足额配置，并经采购人审核通过后方可参与维护工作。如有人员调整，需经采购人同意。若未按要求配齐人员或因缺员影响工作，采购人有权从合同费中扣除相应费用。</w:t>
      </w:r>
    </w:p>
    <w:p w14:paraId="6D17675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（4）驻场人员需服从采购人的统一安排，严格遵守工作时间，工作期间不得从事非采购人安排的工作。合同期内，采购人将不定期对驻场人员进行技术、能力、品德、服务态度、精神面貌、出</w:t>
      </w:r>
      <w:r>
        <w:rPr>
          <w:rFonts w:hint="eastAsia" w:asciiTheme="minorEastAsia" w:hAnsiTheme="minorEastAsia" w:eastAsiaTheme="minorEastAsia" w:cstheme="minorEastAsia"/>
          <w:sz w:val="30"/>
          <w:szCs w:val="30"/>
          <w:highlight w:val="none"/>
          <w:lang w:val="en-US" w:eastAsia="zh-CN"/>
        </w:rPr>
        <w:t>勤率等进行巡检。对发现不合格者，采购人有权做出相应处理，并追究成交供应商责任</w:t>
      </w:r>
      <w:r>
        <w:rPr>
          <w:rFonts w:hint="eastAsia" w:asciiTheme="minorEastAsia" w:hAnsiTheme="minorEastAsia" w:eastAsiaTheme="minorEastAsia" w:cstheme="minorEastAsia"/>
          <w:sz w:val="30"/>
          <w:szCs w:val="30"/>
          <w:lang w:val="en-US" w:eastAsia="zh-CN"/>
        </w:rPr>
        <w:t>。</w:t>
      </w:r>
    </w:p>
    <w:p w14:paraId="570D35C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（5）驻场人员着装需端庄整洁，符合职业要求，工作时应穿着正式场合服装，与工作环境协调，不得穿背心、短裤、拖鞋等；驻场人员需注重礼仪，言谈举止大方得体，不得粗言秽语或大声喧哗。</w:t>
      </w:r>
    </w:p>
    <w:p w14:paraId="62DB099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（6）成交供应商应具备充足的技术力量，支持本项目团队的工作。</w:t>
      </w:r>
    </w:p>
    <w:p w14:paraId="3BD5F93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（7）成交供应商必须遵守采购人内部各项规章制度和操作规程，履行保密义务，签署保密协议，未经批准不得泄露任何保密信息和内部资料。</w:t>
      </w:r>
    </w:p>
    <w:p w14:paraId="3C5BD55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 服务模式</w:t>
      </w:r>
    </w:p>
    <w:p w14:paraId="7C3FF06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（1）本项目采用驻点服务方式，成交供应商要安排至少1名固定的技术人员驻扎于采购人处负责维护工作。技术人员需严格遵循采购人规定的上下班时间，并根据实际工作进度，必要时加班。</w:t>
      </w:r>
    </w:p>
    <w:p w14:paraId="093FFAE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highlight w:val="none"/>
          <w:lang w:val="en-US" w:eastAsia="zh-CN"/>
        </w:rPr>
      </w:pPr>
      <w:r>
        <w:rPr>
          <w:rFonts w:hint="eastAsia" w:asciiTheme="minorEastAsia" w:hAnsiTheme="minorEastAsia" w:eastAsiaTheme="minorEastAsia" w:cstheme="minorEastAsia"/>
          <w:sz w:val="30"/>
          <w:szCs w:val="30"/>
          <w:lang w:val="en-US" w:eastAsia="zh-CN"/>
        </w:rPr>
        <w:t>（2）具体驻点安排为：技术人员</w:t>
      </w:r>
      <w:r>
        <w:rPr>
          <w:rFonts w:hint="eastAsia" w:asciiTheme="minorEastAsia" w:hAnsiTheme="minorEastAsia" w:eastAsiaTheme="minorEastAsia" w:cstheme="minorEastAsia"/>
          <w:sz w:val="30"/>
          <w:szCs w:val="30"/>
          <w:highlight w:val="none"/>
          <w:lang w:val="en-US" w:eastAsia="zh-CN"/>
        </w:rPr>
        <w:t>常驻社保局市政府第二办公区，驻点时间为每周三天，市政务服务中心人社社保综合业务窗口实行随维修要求即到实施维护。</w:t>
      </w:r>
    </w:p>
    <w:p w14:paraId="64A225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（3）在非驻点时间，如遇紧急情况，技术人员需在30分钟内响应，工作日内2小时内到达现场提供支持。</w:t>
      </w:r>
    </w:p>
    <w:p w14:paraId="168265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（4）视频会议支持不受驻点时间限制，需根据实际需求随时响应。</w:t>
      </w:r>
    </w:p>
    <w:p w14:paraId="48609DA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 服务标准</w:t>
      </w:r>
    </w:p>
    <w:p w14:paraId="637CE84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（1）成交供应商为采购人提供的保修维护服务是7×24小时响应服务，工作时间驻点人员10分钟内到达维护现场提供维护和备件更换服务，2小时内备件到达现场，48小时内设备恢复正常运行。</w:t>
      </w:r>
    </w:p>
    <w:p w14:paraId="522067D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（2）对于采购人的每一次服务请求，成交供应商必须全程跟踪处理。当设备需要更换时，应对备用设备进行配置，并确保备用设备使用后在采购人要求的时间内解决故障问题，确保采购人正常使用。</w:t>
      </w:r>
    </w:p>
    <w:p w14:paraId="6AAAA94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（3）成交供应商应尽快了解并熟悉采购人在用的各类设备、网络状况，当遇到不清楚的问题时，应及时与采购人协商解决。</w:t>
      </w:r>
    </w:p>
    <w:p w14:paraId="62ECA8D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4.电话支持服务</w:t>
      </w:r>
    </w:p>
    <w:p w14:paraId="6237993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（1）成交供应商需提供服务热线电话，对采购人发现的硬件故障、软件异常或系统疑难问题给予及时响应。</w:t>
      </w:r>
    </w:p>
    <w:p w14:paraId="6CCA62E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（2）采购人的电话将享有高度优先级，得到优先处理，直至问题解决。成交供应商需指定专人作为电话支持服务的补充。</w:t>
      </w:r>
    </w:p>
    <w:p w14:paraId="68D5730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5.现场支持服务</w:t>
      </w:r>
    </w:p>
    <w:p w14:paraId="36ABAEB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（1）成交供应商接到故障通知后，需在约定时间内进行故障分析判定。如需更换配件，派工程师携带替换备件在2小时内到达现场进行服务。</w:t>
      </w:r>
    </w:p>
    <w:p w14:paraId="424595D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等待响应期间，非紧急的一般性故障，经采购人同意可通过电话支持等远程手段解决。若远程手段无法解决问题，支持工程师需携带备件按约定时间到达现场提供紧急支持。非紧急的一般性故障由采购人解释并定义。</w:t>
      </w:r>
    </w:p>
    <w:p w14:paraId="6F1540D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6.现场备件更换维修服务</w:t>
      </w:r>
    </w:p>
    <w:p w14:paraId="1700A77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在维护服务期限内，成交供应商为所有服务范围内设备的全部故障件的更换服务均是免费的。所更换的故障件若属于设备保修期内，由成交供应商协助联系设备生产商解决；设备保修期外的，由采购人提供或者经采购人同意后由成交供应商提供，故障件备件的采购费用另行结算。</w:t>
      </w:r>
    </w:p>
    <w:p w14:paraId="5E2ADFA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经采购人同意，原故障设备需要送厂维修处理的，按照以下要求执行：出现故障的设备或部件在设备保修期内的由成交供应商负责维修、运送以及所有费用，保修期外的双方另行协商确定维修需更换的配件价格，不得另收服务费用；并在约定的时间送回采购人指定地点并安装完毕，使系统正常运行。</w:t>
      </w:r>
    </w:p>
    <w:p w14:paraId="274246C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（3）在进行更换备件、软件升级等操作时，必须重点考虑数据的安全性和完整性，进行可行性分析和数据备份等措施，确保数据安全。</w:t>
      </w:r>
    </w:p>
    <w:p w14:paraId="245C77F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7.对资源的要求</w:t>
      </w:r>
    </w:p>
    <w:p w14:paraId="2344D71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（1）成交供应商需为本项目提供足够的车辆等交通资源。应急故障需立即安排车辆到现场处理，最迟不超过下一个工作日安排服务用车。</w:t>
      </w:r>
    </w:p>
    <w:p w14:paraId="6A1C5F0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（2）成交供应商需向本项目提供必要的技术工具。</w:t>
      </w:r>
    </w:p>
    <w:p w14:paraId="78B00B7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8.对维护服务时间的要求</w:t>
      </w:r>
    </w:p>
    <w:p w14:paraId="2A07EF5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（1）等待响应时间</w:t>
      </w:r>
    </w:p>
    <w:p w14:paraId="2CBF612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① 提供7×24的等待响应时间：即每周7天，每天24小时。</w:t>
      </w:r>
    </w:p>
    <w:p w14:paraId="3B94916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② 在等待响应时间中的考勤时间，必须提供三种或以上联系方式；在等待响应时间中的非考勤时间，通过手机方式联系。</w:t>
      </w:r>
    </w:p>
    <w:p w14:paraId="32EB4F0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lang w:val="en-US" w:eastAsia="zh-CN"/>
        </w:rPr>
      </w:pPr>
      <w:r>
        <w:rPr>
          <w:rFonts w:hint="eastAsia" w:asciiTheme="minorEastAsia" w:hAnsiTheme="minorEastAsia" w:eastAsiaTheme="minorEastAsia" w:cstheme="minorEastAsia"/>
          <w:sz w:val="30"/>
          <w:szCs w:val="30"/>
          <w:lang w:val="en-US" w:eastAsia="zh-CN"/>
        </w:rPr>
        <w:t>③ 如遇国家法定节假日，放假时间较长的，须提前3个工作天将假期安排提交到采购人进行确认备案。</w:t>
      </w:r>
    </w:p>
    <w:p w14:paraId="11A18044">
      <w:pPr>
        <w:pStyle w:val="12"/>
        <w:spacing w:line="460" w:lineRule="exact"/>
        <w:ind w:left="425" w:firstLine="0" w:firstLineChars="0"/>
        <w:jc w:val="center"/>
        <w:rPr>
          <w:rFonts w:ascii="黑体" w:hAnsi="黑体" w:eastAsia="黑体"/>
          <w:color w:val="auto"/>
          <w:szCs w:val="21"/>
          <w:highlight w:val="none"/>
        </w:rPr>
      </w:pPr>
      <w:r>
        <w:rPr>
          <w:rFonts w:hint="eastAsia" w:ascii="黑体" w:hAnsi="黑体" w:eastAsia="黑体"/>
          <w:color w:val="auto"/>
          <w:szCs w:val="21"/>
          <w:highlight w:val="none"/>
        </w:rPr>
        <w:t>考勤和等待响应时间关系表</w:t>
      </w:r>
    </w:p>
    <w:tbl>
      <w:tblPr>
        <w:tblStyle w:val="9"/>
        <w:tblpPr w:leftFromText="180" w:rightFromText="180" w:vertAnchor="text" w:horzAnchor="page" w:tblpX="1500" w:tblpY="433"/>
        <w:tblOverlap w:val="never"/>
        <w:tblW w:w="910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3036"/>
        <w:gridCol w:w="3036"/>
      </w:tblGrid>
      <w:tr w14:paraId="320769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double" w:color="auto" w:sz="4" w:space="0"/>
              <w:left w:val="double" w:color="auto" w:sz="4" w:space="0"/>
              <w:bottom w:val="single" w:color="auto" w:sz="4" w:space="0"/>
              <w:right w:val="single" w:color="auto" w:sz="4" w:space="0"/>
            </w:tcBorders>
            <w:vAlign w:val="center"/>
          </w:tcPr>
          <w:p w14:paraId="586DC0EE">
            <w:pPr>
              <w:jc w:val="center"/>
              <w:rPr>
                <w:rFonts w:ascii="宋体" w:hAnsi="宋体"/>
                <w:b/>
                <w:color w:val="auto"/>
                <w:spacing w:val="16"/>
                <w:szCs w:val="21"/>
                <w:highlight w:val="none"/>
              </w:rPr>
            </w:pPr>
            <w:r>
              <w:rPr>
                <w:rFonts w:hint="eastAsia" w:ascii="宋体" w:hAnsi="宋体"/>
                <w:b/>
                <w:color w:val="auto"/>
                <w:spacing w:val="16"/>
                <w:szCs w:val="21"/>
                <w:highlight w:val="none"/>
              </w:rPr>
              <w:t>时间</w:t>
            </w:r>
          </w:p>
        </w:tc>
        <w:tc>
          <w:tcPr>
            <w:tcW w:w="3036" w:type="dxa"/>
            <w:tcBorders>
              <w:top w:val="double" w:color="auto" w:sz="4" w:space="0"/>
              <w:left w:val="single" w:color="auto" w:sz="4" w:space="0"/>
              <w:bottom w:val="single" w:color="auto" w:sz="4" w:space="0"/>
              <w:right w:val="single" w:color="auto" w:sz="4" w:space="0"/>
            </w:tcBorders>
            <w:vAlign w:val="center"/>
          </w:tcPr>
          <w:p w14:paraId="3F8AE306">
            <w:pPr>
              <w:jc w:val="center"/>
              <w:rPr>
                <w:rFonts w:ascii="宋体" w:hAnsi="宋体"/>
                <w:b/>
                <w:color w:val="auto"/>
                <w:spacing w:val="16"/>
                <w:szCs w:val="21"/>
                <w:highlight w:val="none"/>
              </w:rPr>
            </w:pPr>
            <w:r>
              <w:rPr>
                <w:rFonts w:hint="eastAsia" w:ascii="宋体" w:hAnsi="宋体"/>
                <w:b/>
                <w:color w:val="auto"/>
                <w:spacing w:val="16"/>
                <w:szCs w:val="21"/>
                <w:highlight w:val="none"/>
              </w:rPr>
              <w:t>说明</w:t>
            </w:r>
          </w:p>
        </w:tc>
        <w:tc>
          <w:tcPr>
            <w:tcW w:w="3036" w:type="dxa"/>
            <w:tcBorders>
              <w:top w:val="double" w:color="auto" w:sz="4" w:space="0"/>
              <w:left w:val="single" w:color="auto" w:sz="4" w:space="0"/>
              <w:bottom w:val="single" w:color="auto" w:sz="4" w:space="0"/>
              <w:right w:val="double" w:color="auto" w:sz="4" w:space="0"/>
            </w:tcBorders>
            <w:vAlign w:val="center"/>
          </w:tcPr>
          <w:p w14:paraId="5327BE00">
            <w:pPr>
              <w:jc w:val="center"/>
              <w:rPr>
                <w:rFonts w:ascii="宋体" w:hAnsi="宋体"/>
                <w:b/>
                <w:color w:val="auto"/>
                <w:spacing w:val="16"/>
                <w:szCs w:val="21"/>
                <w:highlight w:val="none"/>
              </w:rPr>
            </w:pPr>
            <w:r>
              <w:rPr>
                <w:rFonts w:hint="eastAsia" w:ascii="宋体" w:hAnsi="宋体"/>
                <w:b/>
                <w:color w:val="auto"/>
                <w:spacing w:val="16"/>
                <w:szCs w:val="21"/>
                <w:highlight w:val="none"/>
              </w:rPr>
              <w:t>备注</w:t>
            </w:r>
          </w:p>
        </w:tc>
      </w:tr>
      <w:tr w14:paraId="4BCA8E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single" w:color="auto" w:sz="4" w:space="0"/>
              <w:left w:val="double" w:color="auto" w:sz="4" w:space="0"/>
              <w:bottom w:val="single" w:color="auto" w:sz="4" w:space="0"/>
              <w:right w:val="single" w:color="auto" w:sz="4" w:space="0"/>
            </w:tcBorders>
            <w:vAlign w:val="center"/>
          </w:tcPr>
          <w:p w14:paraId="5CD5CB5F">
            <w:pPr>
              <w:jc w:val="center"/>
              <w:rPr>
                <w:rFonts w:ascii="宋体" w:hAnsi="宋体"/>
                <w:color w:val="auto"/>
                <w:spacing w:val="16"/>
                <w:szCs w:val="21"/>
                <w:highlight w:val="none"/>
              </w:rPr>
            </w:pPr>
            <w:r>
              <w:rPr>
                <w:rFonts w:hint="eastAsia" w:ascii="宋体" w:hAnsi="宋体"/>
                <w:color w:val="auto"/>
                <w:spacing w:val="16"/>
                <w:szCs w:val="21"/>
                <w:highlight w:val="none"/>
              </w:rPr>
              <w:t>上午8:30-12:00</w:t>
            </w:r>
          </w:p>
        </w:tc>
        <w:tc>
          <w:tcPr>
            <w:tcW w:w="3036" w:type="dxa"/>
            <w:tcBorders>
              <w:top w:val="single" w:color="auto" w:sz="4" w:space="0"/>
              <w:left w:val="single" w:color="auto" w:sz="4" w:space="0"/>
              <w:bottom w:val="single" w:color="auto" w:sz="4" w:space="0"/>
              <w:right w:val="single" w:color="auto" w:sz="4" w:space="0"/>
            </w:tcBorders>
            <w:vAlign w:val="center"/>
          </w:tcPr>
          <w:p w14:paraId="42E5C826">
            <w:pPr>
              <w:jc w:val="center"/>
              <w:rPr>
                <w:rFonts w:ascii="宋体" w:hAnsi="宋体"/>
                <w:color w:val="auto"/>
                <w:spacing w:val="16"/>
                <w:szCs w:val="21"/>
                <w:highlight w:val="none"/>
              </w:rPr>
            </w:pPr>
            <w:r>
              <w:rPr>
                <w:rFonts w:hint="eastAsia" w:ascii="宋体" w:hAnsi="宋体"/>
                <w:color w:val="auto"/>
                <w:spacing w:val="16"/>
                <w:szCs w:val="21"/>
                <w:highlight w:val="none"/>
              </w:rPr>
              <w:t>上午考勤时间</w:t>
            </w:r>
          </w:p>
        </w:tc>
        <w:tc>
          <w:tcPr>
            <w:tcW w:w="3036" w:type="dxa"/>
            <w:tcBorders>
              <w:top w:val="single" w:color="auto" w:sz="4" w:space="0"/>
              <w:left w:val="single" w:color="auto" w:sz="4" w:space="0"/>
              <w:bottom w:val="single" w:color="auto" w:sz="4" w:space="0"/>
              <w:right w:val="double" w:color="auto" w:sz="4" w:space="0"/>
            </w:tcBorders>
            <w:vAlign w:val="center"/>
          </w:tcPr>
          <w:p w14:paraId="3465B88D">
            <w:pPr>
              <w:jc w:val="center"/>
              <w:rPr>
                <w:rFonts w:ascii="宋体" w:hAnsi="宋体"/>
                <w:color w:val="auto"/>
                <w:spacing w:val="16"/>
                <w:szCs w:val="21"/>
                <w:highlight w:val="none"/>
              </w:rPr>
            </w:pPr>
            <w:r>
              <w:rPr>
                <w:rFonts w:hint="eastAsia" w:ascii="宋体" w:hAnsi="宋体"/>
                <w:color w:val="auto"/>
                <w:spacing w:val="16"/>
                <w:szCs w:val="21"/>
                <w:highlight w:val="none"/>
              </w:rPr>
              <w:t>等待响应时间</w:t>
            </w:r>
          </w:p>
        </w:tc>
      </w:tr>
      <w:tr w14:paraId="2ED728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single" w:color="auto" w:sz="4" w:space="0"/>
              <w:left w:val="double" w:color="auto" w:sz="4" w:space="0"/>
              <w:bottom w:val="single" w:color="auto" w:sz="4" w:space="0"/>
              <w:right w:val="single" w:color="auto" w:sz="4" w:space="0"/>
            </w:tcBorders>
            <w:vAlign w:val="center"/>
          </w:tcPr>
          <w:p w14:paraId="385AEADC">
            <w:pPr>
              <w:jc w:val="center"/>
              <w:rPr>
                <w:rFonts w:ascii="宋体" w:hAnsi="宋体"/>
                <w:color w:val="auto"/>
                <w:spacing w:val="16"/>
                <w:szCs w:val="21"/>
                <w:highlight w:val="none"/>
              </w:rPr>
            </w:pPr>
            <w:r>
              <w:rPr>
                <w:rFonts w:hint="eastAsia" w:ascii="宋体" w:hAnsi="宋体"/>
                <w:color w:val="auto"/>
                <w:spacing w:val="16"/>
                <w:szCs w:val="21"/>
                <w:highlight w:val="none"/>
              </w:rPr>
              <w:t>中午12:00-2:30</w:t>
            </w:r>
          </w:p>
        </w:tc>
        <w:tc>
          <w:tcPr>
            <w:tcW w:w="3036" w:type="dxa"/>
            <w:tcBorders>
              <w:top w:val="single" w:color="auto" w:sz="4" w:space="0"/>
              <w:left w:val="single" w:color="auto" w:sz="4" w:space="0"/>
              <w:bottom w:val="single" w:color="auto" w:sz="4" w:space="0"/>
              <w:right w:val="single" w:color="auto" w:sz="4" w:space="0"/>
            </w:tcBorders>
            <w:vAlign w:val="center"/>
          </w:tcPr>
          <w:p w14:paraId="668EDE1C">
            <w:pPr>
              <w:jc w:val="center"/>
              <w:rPr>
                <w:rFonts w:ascii="宋体" w:hAnsi="宋体"/>
                <w:color w:val="auto"/>
                <w:spacing w:val="16"/>
                <w:szCs w:val="21"/>
                <w:highlight w:val="none"/>
              </w:rPr>
            </w:pPr>
            <w:r>
              <w:rPr>
                <w:rFonts w:hint="eastAsia" w:ascii="宋体" w:hAnsi="宋体"/>
                <w:color w:val="auto"/>
                <w:spacing w:val="16"/>
                <w:szCs w:val="21"/>
                <w:highlight w:val="none"/>
              </w:rPr>
              <w:t>中午非考勤时间</w:t>
            </w:r>
          </w:p>
        </w:tc>
        <w:tc>
          <w:tcPr>
            <w:tcW w:w="3036" w:type="dxa"/>
            <w:tcBorders>
              <w:top w:val="single" w:color="auto" w:sz="4" w:space="0"/>
              <w:left w:val="single" w:color="auto" w:sz="4" w:space="0"/>
              <w:bottom w:val="single" w:color="auto" w:sz="4" w:space="0"/>
              <w:right w:val="double" w:color="auto" w:sz="4" w:space="0"/>
            </w:tcBorders>
            <w:vAlign w:val="center"/>
          </w:tcPr>
          <w:p w14:paraId="1836E4D0">
            <w:pPr>
              <w:jc w:val="center"/>
              <w:rPr>
                <w:rFonts w:ascii="宋体" w:hAnsi="宋体"/>
                <w:color w:val="auto"/>
                <w:spacing w:val="16"/>
                <w:szCs w:val="21"/>
                <w:highlight w:val="none"/>
              </w:rPr>
            </w:pPr>
            <w:r>
              <w:rPr>
                <w:rFonts w:hint="eastAsia" w:ascii="宋体" w:hAnsi="宋体"/>
                <w:color w:val="auto"/>
                <w:spacing w:val="16"/>
                <w:szCs w:val="21"/>
                <w:highlight w:val="none"/>
              </w:rPr>
              <w:t>等待响应时间</w:t>
            </w:r>
          </w:p>
        </w:tc>
      </w:tr>
      <w:tr w14:paraId="042517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single" w:color="auto" w:sz="4" w:space="0"/>
              <w:left w:val="double" w:color="auto" w:sz="4" w:space="0"/>
              <w:bottom w:val="single" w:color="auto" w:sz="4" w:space="0"/>
              <w:right w:val="single" w:color="auto" w:sz="4" w:space="0"/>
            </w:tcBorders>
            <w:vAlign w:val="center"/>
          </w:tcPr>
          <w:p w14:paraId="520C0508">
            <w:pPr>
              <w:jc w:val="center"/>
              <w:rPr>
                <w:rFonts w:ascii="宋体" w:hAnsi="宋体"/>
                <w:color w:val="auto"/>
                <w:spacing w:val="16"/>
                <w:szCs w:val="21"/>
                <w:highlight w:val="none"/>
              </w:rPr>
            </w:pPr>
            <w:r>
              <w:rPr>
                <w:rFonts w:hint="eastAsia" w:ascii="宋体" w:hAnsi="宋体"/>
                <w:color w:val="auto"/>
                <w:spacing w:val="16"/>
                <w:szCs w:val="21"/>
                <w:highlight w:val="none"/>
              </w:rPr>
              <w:t>下午2:30-5:30</w:t>
            </w:r>
          </w:p>
        </w:tc>
        <w:tc>
          <w:tcPr>
            <w:tcW w:w="3036" w:type="dxa"/>
            <w:tcBorders>
              <w:top w:val="single" w:color="auto" w:sz="4" w:space="0"/>
              <w:left w:val="single" w:color="auto" w:sz="4" w:space="0"/>
              <w:bottom w:val="single" w:color="auto" w:sz="4" w:space="0"/>
              <w:right w:val="single" w:color="auto" w:sz="4" w:space="0"/>
            </w:tcBorders>
            <w:vAlign w:val="center"/>
          </w:tcPr>
          <w:p w14:paraId="6BAA1DEB">
            <w:pPr>
              <w:jc w:val="center"/>
              <w:rPr>
                <w:rFonts w:ascii="宋体" w:hAnsi="宋体"/>
                <w:color w:val="auto"/>
                <w:spacing w:val="16"/>
                <w:szCs w:val="21"/>
                <w:highlight w:val="none"/>
              </w:rPr>
            </w:pPr>
            <w:r>
              <w:rPr>
                <w:rFonts w:hint="eastAsia" w:ascii="宋体" w:hAnsi="宋体"/>
                <w:color w:val="auto"/>
                <w:spacing w:val="16"/>
                <w:szCs w:val="21"/>
                <w:highlight w:val="none"/>
              </w:rPr>
              <w:t>下午考勤时间</w:t>
            </w:r>
          </w:p>
        </w:tc>
        <w:tc>
          <w:tcPr>
            <w:tcW w:w="3036" w:type="dxa"/>
            <w:tcBorders>
              <w:top w:val="single" w:color="auto" w:sz="4" w:space="0"/>
              <w:left w:val="single" w:color="auto" w:sz="4" w:space="0"/>
              <w:bottom w:val="single" w:color="auto" w:sz="4" w:space="0"/>
              <w:right w:val="double" w:color="auto" w:sz="4" w:space="0"/>
            </w:tcBorders>
            <w:vAlign w:val="center"/>
          </w:tcPr>
          <w:p w14:paraId="08E7A4FB">
            <w:pPr>
              <w:jc w:val="center"/>
              <w:rPr>
                <w:rFonts w:ascii="宋体" w:hAnsi="宋体"/>
                <w:color w:val="auto"/>
                <w:spacing w:val="16"/>
                <w:szCs w:val="21"/>
                <w:highlight w:val="none"/>
              </w:rPr>
            </w:pPr>
            <w:r>
              <w:rPr>
                <w:rFonts w:hint="eastAsia" w:ascii="宋体" w:hAnsi="宋体"/>
                <w:color w:val="auto"/>
                <w:spacing w:val="16"/>
                <w:szCs w:val="21"/>
                <w:highlight w:val="none"/>
              </w:rPr>
              <w:t>等待响应时间</w:t>
            </w:r>
          </w:p>
        </w:tc>
      </w:tr>
      <w:tr w14:paraId="2AC124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single" w:color="auto" w:sz="4" w:space="0"/>
              <w:left w:val="double" w:color="auto" w:sz="4" w:space="0"/>
              <w:bottom w:val="single" w:color="auto" w:sz="4" w:space="0"/>
              <w:right w:val="single" w:color="auto" w:sz="4" w:space="0"/>
            </w:tcBorders>
            <w:vAlign w:val="center"/>
          </w:tcPr>
          <w:p w14:paraId="644F5252">
            <w:pPr>
              <w:jc w:val="center"/>
              <w:rPr>
                <w:rFonts w:ascii="宋体" w:hAnsi="宋体"/>
                <w:color w:val="auto"/>
                <w:spacing w:val="16"/>
                <w:szCs w:val="21"/>
                <w:highlight w:val="none"/>
              </w:rPr>
            </w:pPr>
            <w:r>
              <w:rPr>
                <w:rFonts w:hint="eastAsia" w:ascii="宋体" w:hAnsi="宋体"/>
                <w:color w:val="auto"/>
                <w:spacing w:val="16"/>
                <w:szCs w:val="21"/>
                <w:highlight w:val="none"/>
              </w:rPr>
              <w:t>周一至周五全天</w:t>
            </w:r>
          </w:p>
        </w:tc>
        <w:tc>
          <w:tcPr>
            <w:tcW w:w="3036" w:type="dxa"/>
            <w:tcBorders>
              <w:top w:val="single" w:color="auto" w:sz="4" w:space="0"/>
              <w:left w:val="single" w:color="auto" w:sz="4" w:space="0"/>
              <w:bottom w:val="single" w:color="auto" w:sz="4" w:space="0"/>
              <w:right w:val="single" w:color="auto" w:sz="4" w:space="0"/>
            </w:tcBorders>
            <w:vAlign w:val="center"/>
          </w:tcPr>
          <w:p w14:paraId="77418C4B">
            <w:pPr>
              <w:jc w:val="center"/>
              <w:rPr>
                <w:rFonts w:ascii="宋体" w:hAnsi="宋体"/>
                <w:color w:val="auto"/>
                <w:spacing w:val="16"/>
                <w:szCs w:val="21"/>
                <w:highlight w:val="none"/>
              </w:rPr>
            </w:pPr>
            <w:r>
              <w:rPr>
                <w:rFonts w:hint="eastAsia" w:ascii="宋体" w:hAnsi="宋体"/>
                <w:color w:val="auto"/>
                <w:spacing w:val="16"/>
                <w:szCs w:val="21"/>
                <w:highlight w:val="none"/>
              </w:rPr>
              <w:t>工作日</w:t>
            </w:r>
          </w:p>
        </w:tc>
        <w:tc>
          <w:tcPr>
            <w:tcW w:w="3036" w:type="dxa"/>
            <w:tcBorders>
              <w:top w:val="single" w:color="auto" w:sz="4" w:space="0"/>
              <w:left w:val="single" w:color="auto" w:sz="4" w:space="0"/>
              <w:bottom w:val="single" w:color="auto" w:sz="4" w:space="0"/>
              <w:right w:val="double" w:color="auto" w:sz="4" w:space="0"/>
            </w:tcBorders>
            <w:vAlign w:val="center"/>
          </w:tcPr>
          <w:p w14:paraId="2DAD710A">
            <w:pPr>
              <w:jc w:val="center"/>
              <w:rPr>
                <w:rFonts w:ascii="宋体" w:hAnsi="宋体"/>
                <w:color w:val="auto"/>
                <w:spacing w:val="16"/>
                <w:szCs w:val="21"/>
                <w:highlight w:val="none"/>
              </w:rPr>
            </w:pPr>
            <w:r>
              <w:rPr>
                <w:rFonts w:hint="eastAsia" w:ascii="宋体" w:hAnsi="宋体"/>
                <w:color w:val="auto"/>
                <w:spacing w:val="16"/>
                <w:szCs w:val="21"/>
                <w:highlight w:val="none"/>
              </w:rPr>
              <w:t>等待响应时间</w:t>
            </w:r>
          </w:p>
        </w:tc>
      </w:tr>
      <w:tr w14:paraId="24A06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36" w:type="dxa"/>
            <w:tcBorders>
              <w:top w:val="single" w:color="auto" w:sz="4" w:space="0"/>
              <w:left w:val="double" w:color="auto" w:sz="4" w:space="0"/>
              <w:bottom w:val="double" w:color="auto" w:sz="4" w:space="0"/>
              <w:right w:val="single" w:color="auto" w:sz="4" w:space="0"/>
            </w:tcBorders>
            <w:vAlign w:val="center"/>
          </w:tcPr>
          <w:p w14:paraId="158B1E48">
            <w:pPr>
              <w:jc w:val="center"/>
              <w:rPr>
                <w:rFonts w:ascii="宋体" w:hAnsi="宋体"/>
                <w:color w:val="auto"/>
                <w:spacing w:val="16"/>
                <w:szCs w:val="21"/>
                <w:highlight w:val="none"/>
              </w:rPr>
            </w:pPr>
            <w:r>
              <w:rPr>
                <w:rFonts w:hint="eastAsia" w:ascii="宋体" w:hAnsi="宋体"/>
                <w:color w:val="auto"/>
                <w:spacing w:val="16"/>
                <w:szCs w:val="21"/>
                <w:highlight w:val="none"/>
              </w:rPr>
              <w:t>周六、周日全天</w:t>
            </w:r>
          </w:p>
        </w:tc>
        <w:tc>
          <w:tcPr>
            <w:tcW w:w="3036" w:type="dxa"/>
            <w:tcBorders>
              <w:top w:val="single" w:color="auto" w:sz="4" w:space="0"/>
              <w:left w:val="single" w:color="auto" w:sz="4" w:space="0"/>
              <w:bottom w:val="double" w:color="auto" w:sz="4" w:space="0"/>
              <w:right w:val="single" w:color="auto" w:sz="4" w:space="0"/>
            </w:tcBorders>
            <w:vAlign w:val="center"/>
          </w:tcPr>
          <w:p w14:paraId="56E17BAB">
            <w:pPr>
              <w:jc w:val="center"/>
              <w:rPr>
                <w:rFonts w:ascii="宋体" w:hAnsi="宋体"/>
                <w:color w:val="auto"/>
                <w:spacing w:val="16"/>
                <w:szCs w:val="21"/>
                <w:highlight w:val="none"/>
              </w:rPr>
            </w:pPr>
            <w:r>
              <w:rPr>
                <w:rFonts w:hint="eastAsia" w:ascii="宋体" w:hAnsi="宋体"/>
                <w:color w:val="auto"/>
                <w:spacing w:val="16"/>
                <w:szCs w:val="21"/>
                <w:highlight w:val="none"/>
              </w:rPr>
              <w:t>非工作日</w:t>
            </w:r>
          </w:p>
        </w:tc>
        <w:tc>
          <w:tcPr>
            <w:tcW w:w="3036" w:type="dxa"/>
            <w:tcBorders>
              <w:top w:val="single" w:color="auto" w:sz="4" w:space="0"/>
              <w:left w:val="single" w:color="auto" w:sz="4" w:space="0"/>
              <w:bottom w:val="double" w:color="auto" w:sz="4" w:space="0"/>
              <w:right w:val="double" w:color="auto" w:sz="4" w:space="0"/>
            </w:tcBorders>
            <w:vAlign w:val="center"/>
          </w:tcPr>
          <w:p w14:paraId="1248D56D">
            <w:pPr>
              <w:jc w:val="center"/>
              <w:rPr>
                <w:rFonts w:ascii="宋体" w:hAnsi="宋体"/>
                <w:color w:val="auto"/>
                <w:spacing w:val="16"/>
                <w:szCs w:val="21"/>
                <w:highlight w:val="none"/>
              </w:rPr>
            </w:pPr>
            <w:r>
              <w:rPr>
                <w:rFonts w:hint="eastAsia" w:ascii="宋体" w:hAnsi="宋体"/>
                <w:color w:val="auto"/>
                <w:spacing w:val="16"/>
                <w:szCs w:val="21"/>
                <w:highlight w:val="none"/>
              </w:rPr>
              <w:t>等待响应时间</w:t>
            </w:r>
          </w:p>
        </w:tc>
      </w:tr>
    </w:tbl>
    <w:p w14:paraId="353CDAA8">
      <w:pPr>
        <w:numPr>
          <w:ilvl w:val="0"/>
          <w:numId w:val="0"/>
        </w:numPr>
        <w:tabs>
          <w:tab w:val="left" w:pos="567"/>
        </w:tabs>
        <w:spacing w:line="460" w:lineRule="exact"/>
        <w:ind w:left="0" w:leftChars="0" w:firstLine="420" w:firstLineChars="0"/>
        <w:rPr>
          <w:rFonts w:hint="eastAsia" w:ascii="宋体" w:hAnsi="宋体" w:cs="宋体"/>
          <w:b/>
          <w:bCs/>
          <w:color w:val="auto"/>
          <w:kern w:val="2"/>
          <w:sz w:val="28"/>
          <w:szCs w:val="28"/>
          <w:lang w:val="en-US" w:eastAsia="zh-CN" w:bidi="ar-SA"/>
        </w:rPr>
      </w:pPr>
    </w:p>
    <w:p w14:paraId="16DBCE0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五、</w:t>
      </w:r>
      <w:r>
        <w:rPr>
          <w:rFonts w:hint="eastAsia" w:asciiTheme="minorEastAsia" w:hAnsiTheme="minorEastAsia" w:eastAsiaTheme="minorEastAsia" w:cstheme="minorEastAsia"/>
          <w:sz w:val="30"/>
          <w:szCs w:val="30"/>
        </w:rPr>
        <w:t>验收要求</w:t>
      </w:r>
    </w:p>
    <w:p w14:paraId="3855FFD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1．成交供应商完成本项目所有维护服务工作并提交验收申请，验收申</w:t>
      </w:r>
      <w:r>
        <w:rPr>
          <w:rFonts w:hint="eastAsia" w:asciiTheme="minorEastAsia" w:hAnsiTheme="minorEastAsia" w:eastAsiaTheme="minorEastAsia" w:cstheme="minorEastAsia"/>
          <w:color w:val="auto"/>
          <w:sz w:val="30"/>
          <w:szCs w:val="30"/>
        </w:rPr>
        <w:t>请需包含故障修复维护记录表、视频会议现场维护记录表</w:t>
      </w:r>
      <w:r>
        <w:rPr>
          <w:rFonts w:hint="eastAsia" w:asciiTheme="minorEastAsia" w:hAnsiTheme="minorEastAsia" w:eastAsiaTheme="minorEastAsia" w:cstheme="minorEastAsia"/>
          <w:sz w:val="30"/>
          <w:szCs w:val="30"/>
        </w:rPr>
        <w:t>等。</w:t>
      </w:r>
    </w:p>
    <w:p w14:paraId="43035EF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2．采购人组织验收小组，对维护服务效果及产出物是否符合用户需求和合同要求进行评审，并确认是否达到预期目标，出具书面验收意见。</w:t>
      </w:r>
    </w:p>
    <w:p w14:paraId="280B3F2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p>
    <w:p w14:paraId="0CB6764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lang w:val="en-US" w:eastAsia="zh-CN"/>
        </w:rPr>
        <w:t>六、</w:t>
      </w:r>
      <w:r>
        <w:rPr>
          <w:rFonts w:hint="eastAsia" w:asciiTheme="minorEastAsia" w:hAnsiTheme="minorEastAsia" w:eastAsiaTheme="minorEastAsia" w:cstheme="minorEastAsia"/>
          <w:sz w:val="30"/>
          <w:szCs w:val="30"/>
        </w:rPr>
        <w:t>付款方式</w:t>
      </w:r>
    </w:p>
    <w:p w14:paraId="6818574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 xml:space="preserve"> 1． 本项目项下的维护服务费由采购人通过银行转账方式向成交供应商支付，支付货币为人民币。每期款项需要支付时，成交供应商应向采购人提交书面支付申请和对应数额的正式发票，采购人收到书面支付申请及正式发票，并对支付申请进行审核确认之日起15个工作日内安排支付。采购方如期向财政部门提出支付申请之日，即视为采购方已如期支付。</w:t>
      </w:r>
    </w:p>
    <w:p w14:paraId="3C1A480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 合同金额支付方式：采用先服务后结算方式，分两期结算服务费，每完成半年服务期后15个工作日内，双方如无争议，采购人向成交供应商支付合同总价的50%。每一期履约完毕后，成交供应商申请支付该期的服务费，采购人按照本条付款方式的约定，对支付申请进行审核确认之日起15个工作日内安排支付。</w:t>
      </w:r>
    </w:p>
    <w:p w14:paraId="2F3BC54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 若成交供应商未按时按约提交支付申请，采购人的支付期限相应顺延。</w:t>
      </w:r>
    </w:p>
    <w:p w14:paraId="0B6E2A9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 若合同提前终止，按照成交供应商实际服务时间支付合同费用。</w:t>
      </w:r>
    </w:p>
    <w:p w14:paraId="264D368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5． 如成交供应商未按合同约定履行合同的义务，采购人有权在待支付合同款项中直接扣收成交供应商违约金及赔偿金。</w:t>
      </w:r>
    </w:p>
    <w:p w14:paraId="53F103E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6．本项目使用财政资金，应当接受国家审计监督。如本合同列为审计项目，双方应配合接受审计，并同意以审计机关出具的审计结论为本合同最终结算依据，双方根据审计结论进行多退少补。</w:t>
      </w:r>
    </w:p>
    <w:p w14:paraId="31F987F8">
      <w:pPr>
        <w:pStyle w:val="2"/>
        <w:rPr>
          <w:rFonts w:hint="eastAsia"/>
        </w:rPr>
      </w:pPr>
    </w:p>
    <w:p w14:paraId="044B6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七、责任条款</w:t>
      </w:r>
    </w:p>
    <w:p w14:paraId="08F99EC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1． 服务期开始后的前15天为试用期。若成交供应商在试用期内未能配齐符合采购人需求的维护人员，则视为成交供应商主动违约，采购人有权终止</w:t>
      </w:r>
      <w:r>
        <w:rPr>
          <w:rFonts w:hint="eastAsia" w:asciiTheme="minorEastAsia" w:hAnsiTheme="minorEastAsia" w:eastAsiaTheme="minorEastAsia" w:cstheme="minorEastAsia"/>
          <w:sz w:val="30"/>
          <w:szCs w:val="30"/>
          <w:highlight w:val="none"/>
        </w:rPr>
        <w:t>合同。</w:t>
      </w:r>
    </w:p>
    <w:p w14:paraId="17620D1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2． 在服务期间，若成交供应商出现调走驻场维护人员、驻场维护人员不符合项目要求、维护人员辞职或被成交供应商辞退等情况，且未能在一个月内及时补齐符合项目要求的人员，则视为成交供应商主动违约。采购人有权终止合同，并有权拒绝支付当期合同款。</w:t>
      </w:r>
    </w:p>
    <w:p w14:paraId="7F84408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3．若成交供应商累计3次未达到响应时间或故障解决标准，采购人有权单方终止合同，并索赔合同总价20%的违约金。</w:t>
      </w:r>
    </w:p>
    <w:p w14:paraId="4B746A7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4． 因成交供应商维护人员操作导致数据丢失或泄露的，成交供应商需承担实际损失赔偿，赔偿上限为合同总价的200%。</w:t>
      </w:r>
    </w:p>
    <w:p w14:paraId="5A986567">
      <w:pPr>
        <w:pStyle w:val="2"/>
        <w:rPr>
          <w:rFonts w:hint="eastAsia"/>
        </w:rPr>
      </w:pPr>
    </w:p>
    <w:p w14:paraId="66318550">
      <w:pPr>
        <w:rPr>
          <w:rFonts w:hint="eastAsia"/>
          <w:lang w:val="en-US" w:eastAsia="zh-CN"/>
        </w:rPr>
      </w:pPr>
    </w:p>
    <w:p w14:paraId="6499F80C">
      <w:pPr>
        <w:ind w:right="640" w:firstLine="640" w:firstLineChars="200"/>
        <w:jc w:val="right"/>
        <w:rPr>
          <w:rFonts w:hint="eastAsia" w:ascii="仿宋_GB2312" w:hAnsi="仿宋_GB2312" w:eastAsia="仿宋_GB2312" w:cs="仿宋_GB2312"/>
          <w:b w:val="0"/>
          <w:bCs w:val="0"/>
          <w:i w:val="0"/>
          <w:iCs w:val="0"/>
          <w:caps w:val="0"/>
          <w:color w:val="auto"/>
          <w:spacing w:val="0"/>
          <w:sz w:val="32"/>
          <w:szCs w:val="32"/>
          <w:lang w:eastAsia="zh-CN"/>
        </w:rPr>
      </w:pPr>
      <w:r>
        <w:rPr>
          <w:rFonts w:hint="eastAsia" w:ascii="仿宋_GB2312" w:hAnsi="仿宋_GB2312" w:eastAsia="仿宋_GB2312" w:cs="仿宋_GB2312"/>
          <w:b w:val="0"/>
          <w:bCs w:val="0"/>
          <w:i w:val="0"/>
          <w:iCs w:val="0"/>
          <w:caps w:val="0"/>
          <w:color w:val="auto"/>
          <w:spacing w:val="0"/>
          <w:sz w:val="32"/>
          <w:szCs w:val="32"/>
          <w:lang w:eastAsia="zh-CN"/>
        </w:rPr>
        <w:t>中山市社会保险基金管理局</w:t>
      </w:r>
    </w:p>
    <w:p w14:paraId="4AD6C832">
      <w:pPr>
        <w:ind w:right="640" w:firstLine="640" w:firstLineChars="200"/>
        <w:jc w:val="right"/>
        <w:rPr>
          <w:rFonts w:ascii="仿宋_GB2312" w:eastAsia="仿宋_GB2312"/>
          <w:color w:val="auto"/>
          <w:sz w:val="32"/>
          <w:szCs w:val="32"/>
        </w:rPr>
      </w:pPr>
      <w:r>
        <w:rPr>
          <w:rFonts w:hint="eastAsia" w:ascii="仿宋_GB2312" w:hAnsi="Arial" w:eastAsia="仿宋_GB2312" w:cs="Arial"/>
          <w:color w:val="auto"/>
          <w:sz w:val="32"/>
          <w:szCs w:val="32"/>
        </w:rPr>
        <w:t>20</w:t>
      </w:r>
      <w:r>
        <w:rPr>
          <w:rFonts w:hint="eastAsia" w:ascii="仿宋_GB2312" w:hAnsi="Arial" w:eastAsia="仿宋_GB2312" w:cs="Arial"/>
          <w:color w:val="auto"/>
          <w:sz w:val="32"/>
          <w:szCs w:val="32"/>
          <w:lang w:val="en-US" w:eastAsia="zh-CN"/>
        </w:rPr>
        <w:t>26</w:t>
      </w:r>
      <w:r>
        <w:rPr>
          <w:rFonts w:hint="eastAsia" w:ascii="仿宋_GB2312" w:hAnsi="Arial" w:eastAsia="仿宋_GB2312" w:cs="Arial"/>
          <w:color w:val="auto"/>
          <w:sz w:val="32"/>
          <w:szCs w:val="32"/>
        </w:rPr>
        <w:t>年</w:t>
      </w:r>
      <w:r>
        <w:rPr>
          <w:rFonts w:hint="eastAsia" w:ascii="仿宋_GB2312" w:hAnsi="Arial" w:eastAsia="仿宋_GB2312" w:cs="Arial"/>
          <w:color w:val="auto"/>
          <w:sz w:val="32"/>
          <w:szCs w:val="32"/>
          <w:lang w:val="en-US" w:eastAsia="zh-CN"/>
        </w:rPr>
        <w:t>5</w:t>
      </w:r>
      <w:r>
        <w:rPr>
          <w:rFonts w:hint="eastAsia" w:ascii="仿宋_GB2312" w:hAnsi="Arial" w:eastAsia="仿宋_GB2312" w:cs="Arial"/>
          <w:color w:val="auto"/>
          <w:sz w:val="32"/>
          <w:szCs w:val="32"/>
        </w:rPr>
        <w:t>月</w:t>
      </w:r>
      <w:r>
        <w:rPr>
          <w:rFonts w:hint="eastAsia" w:ascii="仿宋_GB2312" w:hAnsi="Arial" w:eastAsia="仿宋_GB2312" w:cs="Arial"/>
          <w:color w:val="auto"/>
          <w:sz w:val="32"/>
          <w:szCs w:val="32"/>
          <w:lang w:val="en-US" w:eastAsia="zh-CN"/>
        </w:rPr>
        <w:t>15</w:t>
      </w:r>
      <w:bookmarkStart w:id="0" w:name="_GoBack"/>
      <w:bookmarkEnd w:id="0"/>
      <w:r>
        <w:rPr>
          <w:rFonts w:hint="eastAsia" w:ascii="仿宋_GB2312" w:hAnsi="Arial" w:eastAsia="仿宋_GB2312" w:cs="Arial"/>
          <w:color w:val="auto"/>
          <w:sz w:val="32"/>
          <w:szCs w:val="32"/>
        </w:rPr>
        <w:t>日</w:t>
      </w:r>
    </w:p>
    <w:p w14:paraId="6CCAEBFB">
      <w:pPr>
        <w:rPr>
          <w:color w:val="auto"/>
        </w:rPr>
      </w:pPr>
    </w:p>
    <w:p w14:paraId="5B85C836">
      <w:pPr>
        <w:rPr>
          <w:rFonts w:ascii="仿宋_GB2312" w:hAnsi="仿宋_GB2312" w:eastAsia="仿宋_GB2312" w:cs="仿宋_GB2312"/>
          <w:color w:val="auto"/>
          <w:sz w:val="32"/>
          <w:szCs w:val="32"/>
        </w:rPr>
      </w:pPr>
    </w:p>
    <w:p w14:paraId="27D7CC19">
      <w:pPr>
        <w:rPr>
          <w:rFonts w:hint="eastAsia" w:ascii="仿宋_GB2312" w:hAnsi="仿宋_GB2312" w:eastAsia="仿宋_GB2312" w:cs="仿宋_GB2312"/>
          <w:color w:val="auto"/>
          <w:sz w:val="32"/>
          <w:szCs w:val="32"/>
        </w:rPr>
      </w:pPr>
    </w:p>
    <w:p w14:paraId="4498D24D">
      <w:pPr>
        <w:rPr>
          <w:color w:val="auto"/>
        </w:rPr>
      </w:pPr>
    </w:p>
    <w:sectPr>
      <w:footerReference r:id="rId3" w:type="default"/>
      <w:pgSz w:w="11906" w:h="16838"/>
      <w:pgMar w:top="1327" w:right="1236" w:bottom="1327" w:left="123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D2E90F89-C6E7-4396-9EBC-E8C216CA0723}"/>
  </w:font>
  <w:font w:name="黑体">
    <w:panose1 w:val="02010609060101010101"/>
    <w:charset w:val="86"/>
    <w:family w:val="auto"/>
    <w:pitch w:val="default"/>
    <w:sig w:usb0="800002BF" w:usb1="38CF7CFA" w:usb2="00000016" w:usb3="00000000" w:csb0="00040001" w:csb1="00000000"/>
    <w:embedRegular r:id="rId2" w:fontKey="{1F5199B4-4736-4F45-8DEC-698300C968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embedRegular r:id="rId3" w:fontKey="{E1BB08BB-9267-4CB8-BAE6-1AF8EA87B9B9}"/>
  </w:font>
  <w:font w:name="仿宋_GB2312">
    <w:panose1 w:val="02010609030101010101"/>
    <w:charset w:val="86"/>
    <w:family w:val="modern"/>
    <w:pitch w:val="default"/>
    <w:sig w:usb0="00000001" w:usb1="080E0000" w:usb2="00000000" w:usb3="00000000" w:csb0="00040000" w:csb1="00000000"/>
    <w:embedRegular r:id="rId4" w:fontKey="{6E83F52D-769A-4DCB-8057-F803102CFC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5AD8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FBCAE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4FBCAE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1EA4"/>
    <w:rsid w:val="0005596D"/>
    <w:rsid w:val="00076399"/>
    <w:rsid w:val="00095CEE"/>
    <w:rsid w:val="000D40D2"/>
    <w:rsid w:val="000D4B63"/>
    <w:rsid w:val="00145E5B"/>
    <w:rsid w:val="001510AE"/>
    <w:rsid w:val="001A006F"/>
    <w:rsid w:val="001F3C1A"/>
    <w:rsid w:val="00231C92"/>
    <w:rsid w:val="002A3977"/>
    <w:rsid w:val="002D1E4A"/>
    <w:rsid w:val="00384DA5"/>
    <w:rsid w:val="0042209B"/>
    <w:rsid w:val="004316BA"/>
    <w:rsid w:val="004A01C4"/>
    <w:rsid w:val="004D725F"/>
    <w:rsid w:val="00520EB9"/>
    <w:rsid w:val="00552F33"/>
    <w:rsid w:val="005A4414"/>
    <w:rsid w:val="005F16A4"/>
    <w:rsid w:val="006218CA"/>
    <w:rsid w:val="006E1F1D"/>
    <w:rsid w:val="00761A2E"/>
    <w:rsid w:val="007704B0"/>
    <w:rsid w:val="007A1C60"/>
    <w:rsid w:val="007F6413"/>
    <w:rsid w:val="0082622E"/>
    <w:rsid w:val="008A2BF9"/>
    <w:rsid w:val="008F3CB7"/>
    <w:rsid w:val="0098494E"/>
    <w:rsid w:val="009A40EE"/>
    <w:rsid w:val="009D5384"/>
    <w:rsid w:val="00A5641B"/>
    <w:rsid w:val="00A67D14"/>
    <w:rsid w:val="00C04CF7"/>
    <w:rsid w:val="00C06AF9"/>
    <w:rsid w:val="00C5271E"/>
    <w:rsid w:val="00C669E4"/>
    <w:rsid w:val="00CF1CF8"/>
    <w:rsid w:val="00D76C6A"/>
    <w:rsid w:val="00D774A3"/>
    <w:rsid w:val="00DA75D9"/>
    <w:rsid w:val="00DF16DE"/>
    <w:rsid w:val="00E13A3B"/>
    <w:rsid w:val="00EB75E9"/>
    <w:rsid w:val="00EE03C9"/>
    <w:rsid w:val="00EE271D"/>
    <w:rsid w:val="00EE4E85"/>
    <w:rsid w:val="00F04EE8"/>
    <w:rsid w:val="00F16543"/>
    <w:rsid w:val="00FF39FC"/>
    <w:rsid w:val="033D73FC"/>
    <w:rsid w:val="03C92F80"/>
    <w:rsid w:val="04416E19"/>
    <w:rsid w:val="045B2050"/>
    <w:rsid w:val="04DF5BC6"/>
    <w:rsid w:val="055F7C65"/>
    <w:rsid w:val="060A62F7"/>
    <w:rsid w:val="061A7C4C"/>
    <w:rsid w:val="06C44ACD"/>
    <w:rsid w:val="07905263"/>
    <w:rsid w:val="07C97620"/>
    <w:rsid w:val="09D1388D"/>
    <w:rsid w:val="0BF12EBF"/>
    <w:rsid w:val="0EF71D63"/>
    <w:rsid w:val="0FFE370C"/>
    <w:rsid w:val="10F51D26"/>
    <w:rsid w:val="11747AB2"/>
    <w:rsid w:val="1272479B"/>
    <w:rsid w:val="130F497D"/>
    <w:rsid w:val="152A6F61"/>
    <w:rsid w:val="15AE1060"/>
    <w:rsid w:val="15F954BB"/>
    <w:rsid w:val="15FC5F85"/>
    <w:rsid w:val="163835F3"/>
    <w:rsid w:val="17BF181A"/>
    <w:rsid w:val="18881F07"/>
    <w:rsid w:val="1A215D1A"/>
    <w:rsid w:val="1A442027"/>
    <w:rsid w:val="1B913713"/>
    <w:rsid w:val="1BCC4A89"/>
    <w:rsid w:val="1CA11BFB"/>
    <w:rsid w:val="1CBE7E91"/>
    <w:rsid w:val="1D747F56"/>
    <w:rsid w:val="1DE6578F"/>
    <w:rsid w:val="1DEC57A6"/>
    <w:rsid w:val="1EF26B28"/>
    <w:rsid w:val="2261209B"/>
    <w:rsid w:val="22A12F4B"/>
    <w:rsid w:val="2383218E"/>
    <w:rsid w:val="23A9386E"/>
    <w:rsid w:val="25EF63C7"/>
    <w:rsid w:val="26024697"/>
    <w:rsid w:val="267547F9"/>
    <w:rsid w:val="27A9755C"/>
    <w:rsid w:val="2A640B86"/>
    <w:rsid w:val="2B8723B0"/>
    <w:rsid w:val="2D1134A8"/>
    <w:rsid w:val="2EA51F7A"/>
    <w:rsid w:val="302B0101"/>
    <w:rsid w:val="30742FCF"/>
    <w:rsid w:val="308D4B2C"/>
    <w:rsid w:val="31975317"/>
    <w:rsid w:val="32D51452"/>
    <w:rsid w:val="33D53940"/>
    <w:rsid w:val="358251A7"/>
    <w:rsid w:val="37944A36"/>
    <w:rsid w:val="37ED59A8"/>
    <w:rsid w:val="390812EF"/>
    <w:rsid w:val="39616A88"/>
    <w:rsid w:val="39D1574B"/>
    <w:rsid w:val="39F01F8C"/>
    <w:rsid w:val="39FD1644"/>
    <w:rsid w:val="3ADF5781"/>
    <w:rsid w:val="3AFF1360"/>
    <w:rsid w:val="3B707852"/>
    <w:rsid w:val="3D1F758C"/>
    <w:rsid w:val="3E07199C"/>
    <w:rsid w:val="3E4D051A"/>
    <w:rsid w:val="3FD3071C"/>
    <w:rsid w:val="41361F87"/>
    <w:rsid w:val="4160656B"/>
    <w:rsid w:val="43FC3D1E"/>
    <w:rsid w:val="442A4DD1"/>
    <w:rsid w:val="4431505C"/>
    <w:rsid w:val="44932D89"/>
    <w:rsid w:val="4515125D"/>
    <w:rsid w:val="46E958E6"/>
    <w:rsid w:val="48107B67"/>
    <w:rsid w:val="48242BE4"/>
    <w:rsid w:val="48B044FA"/>
    <w:rsid w:val="49302E25"/>
    <w:rsid w:val="493F4FBB"/>
    <w:rsid w:val="49B17BD6"/>
    <w:rsid w:val="4A5B3BF0"/>
    <w:rsid w:val="4A7D1D77"/>
    <w:rsid w:val="4B9C271B"/>
    <w:rsid w:val="4C227C7F"/>
    <w:rsid w:val="4CBF5C1D"/>
    <w:rsid w:val="4EB7606E"/>
    <w:rsid w:val="4F92089C"/>
    <w:rsid w:val="50D0692C"/>
    <w:rsid w:val="51543B56"/>
    <w:rsid w:val="51D6632E"/>
    <w:rsid w:val="525E6316"/>
    <w:rsid w:val="52C00150"/>
    <w:rsid w:val="52D751DE"/>
    <w:rsid w:val="53E1672B"/>
    <w:rsid w:val="5519761B"/>
    <w:rsid w:val="552B1DC2"/>
    <w:rsid w:val="569F01B0"/>
    <w:rsid w:val="56B066AC"/>
    <w:rsid w:val="56FD5A1B"/>
    <w:rsid w:val="578C63C5"/>
    <w:rsid w:val="578D6E2D"/>
    <w:rsid w:val="588C7AE7"/>
    <w:rsid w:val="58ED53DB"/>
    <w:rsid w:val="58EE2BA5"/>
    <w:rsid w:val="59E741FF"/>
    <w:rsid w:val="5B7B6323"/>
    <w:rsid w:val="5BE975CF"/>
    <w:rsid w:val="5CFD143C"/>
    <w:rsid w:val="5E964EB2"/>
    <w:rsid w:val="5F95377B"/>
    <w:rsid w:val="5FFF1EA4"/>
    <w:rsid w:val="609121A3"/>
    <w:rsid w:val="617D7D84"/>
    <w:rsid w:val="623F0FF1"/>
    <w:rsid w:val="629E457C"/>
    <w:rsid w:val="63B30C4F"/>
    <w:rsid w:val="63D75027"/>
    <w:rsid w:val="63F400EC"/>
    <w:rsid w:val="64022359"/>
    <w:rsid w:val="64204893"/>
    <w:rsid w:val="644313C9"/>
    <w:rsid w:val="660355A9"/>
    <w:rsid w:val="69B341E0"/>
    <w:rsid w:val="6AB426DC"/>
    <w:rsid w:val="6AF50534"/>
    <w:rsid w:val="6B055472"/>
    <w:rsid w:val="6B396766"/>
    <w:rsid w:val="6EA9492E"/>
    <w:rsid w:val="6F6C0792"/>
    <w:rsid w:val="6F725739"/>
    <w:rsid w:val="6F79585F"/>
    <w:rsid w:val="71707F3B"/>
    <w:rsid w:val="733A13F8"/>
    <w:rsid w:val="735521BF"/>
    <w:rsid w:val="7434698A"/>
    <w:rsid w:val="74D0177A"/>
    <w:rsid w:val="78F023DA"/>
    <w:rsid w:val="7A2F6851"/>
    <w:rsid w:val="7AEC4317"/>
    <w:rsid w:val="7E121A5D"/>
    <w:rsid w:val="7E4A7896"/>
    <w:rsid w:val="7E5446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pacing w:after="120" w:afterLines="0" w:line="312" w:lineRule="atLeast"/>
    </w:pPr>
    <w:rPr>
      <w:kern w:val="0"/>
      <w:sz w:val="24"/>
      <w:szCs w:val="20"/>
    </w:rPr>
  </w:style>
  <w:style w:type="paragraph" w:customStyle="1" w:styleId="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
    <w:name w:val="annotation text"/>
    <w:basedOn w:val="1"/>
    <w:qFormat/>
    <w:uiPriority w:val="0"/>
    <w:pPr>
      <w:jc w:val="left"/>
    </w:pPr>
  </w:style>
  <w:style w:type="paragraph" w:styleId="5">
    <w:name w:val="toc 5"/>
    <w:basedOn w:val="1"/>
    <w:next w:val="1"/>
    <w:qFormat/>
    <w:uiPriority w:val="0"/>
    <w:pPr>
      <w:ind w:left="1680" w:leftChars="8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w:basedOn w:val="2"/>
    <w:next w:val="1"/>
    <w:qFormat/>
    <w:uiPriority w:val="0"/>
    <w:pPr>
      <w:adjustRightInd w:val="0"/>
      <w:spacing w:after="120" w:line="240" w:lineRule="atLeast"/>
      <w:ind w:firstLine="420" w:firstLineChars="100"/>
      <w:jc w:val="left"/>
    </w:pPr>
    <w:rPr>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List Paragraph1"/>
    <w:basedOn w:val="1"/>
    <w:qFormat/>
    <w:uiPriority w:val="0"/>
    <w:pPr>
      <w:spacing w:line="360" w:lineRule="auto"/>
      <w:ind w:firstLine="420" w:firstLineChars="200"/>
    </w:pPr>
    <w:rPr>
      <w:rFonts w:ascii="Calibri" w:hAnsi="Calibr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Desktop\&#27861;&#24459;&#39038;&#38382;\&#38468;&#20214;2&#65306;&#27861;&#24459;&#39038;&#38382;&#26381;&#21153;&#39033;&#30446;&#29992;&#25143;&#38656;&#27714;&#20070;.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附件2：法律顾问服务项目用户需求书</Template>
  <Company>市劳动和社会保障局</Company>
  <Pages>8</Pages>
  <Words>3738</Words>
  <Characters>3810</Characters>
  <Lines>21</Lines>
  <Paragraphs>6</Paragraphs>
  <TotalTime>19</TotalTime>
  <ScaleCrop>false</ScaleCrop>
  <LinksUpToDate>false</LinksUpToDate>
  <CharactersWithSpaces>3826</CharactersWithSpaces>
  <Application>WPS Office_12.9.0.21300_F1E327BC-269C-435d-A152-05C5408002CA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2019-11-06T07:15:00Z</dcterms:created>
  <dc:creator>陈翠</dc:creator>
  <cp:lastModifiedBy>Administrator</cp:lastModifiedBy>
  <dcterms:modified xsi:type="dcterms:W3CDTF">2026-05-15T03:48:10Z</dcterms:modified>
  <dc:title>附件2</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2052-12.9.0.21300</vt:lpwstr>
  </property>
  <property fmtid="{D5CDD505-2E9C-101B-9397-08002B2CF9AE}" pid="3" name="ICV">
    <vt:lpwstr>D999E67ADA7B4A529D4D21746871DEA8_13</vt:lpwstr>
  </property>
  <property fmtid="{D5CDD505-2E9C-101B-9397-08002B2CF9AE}" pid="4" name="KSOTemplateDocerSaveRecord">
    <vt:lpwstr>eyJoZGlkIjoiZDg0MmQ3OThhZDgzNmZkMWZhMjUxY2QyNmZiYjBiOGUiLCJ1c2VySWQiOiIyNzExNTIxNDUifQ==</vt:lpwstr>
  </property>
</Properties>
</file>