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93E9B">
      <w:pPr>
        <w:spacing w:line="560" w:lineRule="atLeast"/>
        <w:ind w:left="59"/>
        <w:rPr>
          <w:rFonts w:hint="eastAsia" w:eastAsia="黑体"/>
          <w:color w:val="auto"/>
          <w:spacing w:val="-6"/>
          <w:szCs w:val="32"/>
          <w:highlight w:val="none"/>
          <w:lang w:eastAsia="zh-CN"/>
        </w:rPr>
      </w:pPr>
      <w:r>
        <w:rPr>
          <w:rFonts w:eastAsia="黑体"/>
          <w:color w:val="auto"/>
          <w:spacing w:val="-6"/>
          <w:szCs w:val="32"/>
          <w:highlight w:val="none"/>
        </w:rPr>
        <w:t>附件</w:t>
      </w:r>
      <w:r>
        <w:rPr>
          <w:rFonts w:hint="eastAsia" w:eastAsia="黑体"/>
          <w:color w:val="auto"/>
          <w:spacing w:val="-6"/>
          <w:szCs w:val="32"/>
          <w:highlight w:val="none"/>
          <w:lang w:val="en-US" w:eastAsia="zh-CN"/>
        </w:rPr>
        <w:t>1</w:t>
      </w:r>
    </w:p>
    <w:p w14:paraId="396556D1">
      <w:pPr>
        <w:spacing w:line="560" w:lineRule="atLeast"/>
        <w:jc w:val="center"/>
        <w:rPr>
          <w:rFonts w:hint="eastAsia" w:ascii="方正小标宋_GBK" w:hAnsi="方正小标宋_GBK" w:eastAsia="方正小标宋_GBK" w:cs="方正小标宋_GBK"/>
          <w:color w:val="auto"/>
          <w:spacing w:val="-6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-6"/>
          <w:sz w:val="44"/>
          <w:szCs w:val="44"/>
          <w:highlight w:val="none"/>
          <w:lang w:val="en-US" w:eastAsia="zh-CN"/>
        </w:rPr>
        <w:t>广东省</w:t>
      </w:r>
      <w:r>
        <w:rPr>
          <w:rFonts w:hint="eastAsia" w:ascii="方正小标宋_GBK" w:hAnsi="方正小标宋_GBK" w:eastAsia="方正小标宋_GBK" w:cs="方正小标宋_GBK"/>
          <w:color w:val="auto"/>
          <w:spacing w:val="-6"/>
          <w:sz w:val="44"/>
          <w:szCs w:val="44"/>
          <w:highlight w:val="none"/>
        </w:rPr>
        <w:t>第</w:t>
      </w:r>
      <w:r>
        <w:rPr>
          <w:rFonts w:hint="eastAsia" w:ascii="方正小标宋_GBK" w:hAnsi="方正小标宋_GBK" w:eastAsia="方正小标宋_GBK" w:cs="方正小标宋_GBK"/>
          <w:color w:val="auto"/>
          <w:spacing w:val="-6"/>
          <w:sz w:val="44"/>
          <w:szCs w:val="44"/>
          <w:highlight w:val="none"/>
          <w:lang w:val="en-US" w:eastAsia="zh-CN"/>
        </w:rPr>
        <w:t>五</w:t>
      </w:r>
      <w:r>
        <w:rPr>
          <w:rFonts w:hint="eastAsia" w:ascii="方正小标宋_GBK" w:hAnsi="方正小标宋_GBK" w:eastAsia="方正小标宋_GBK" w:cs="方正小标宋_GBK"/>
          <w:color w:val="auto"/>
          <w:spacing w:val="-6"/>
          <w:sz w:val="44"/>
          <w:szCs w:val="44"/>
          <w:highlight w:val="none"/>
        </w:rPr>
        <w:t>届职业技能大赛</w:t>
      </w:r>
    </w:p>
    <w:p w14:paraId="76289CAA">
      <w:pPr>
        <w:spacing w:line="560" w:lineRule="atLeast"/>
        <w:jc w:val="center"/>
        <w:rPr>
          <w:rFonts w:hint="eastAsia" w:ascii="方正小标宋_GBK" w:hAnsi="方正小标宋_GBK" w:eastAsia="方正小标宋_GBK" w:cs="方正小标宋_GBK"/>
          <w:color w:val="auto"/>
          <w:spacing w:val="-6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-6"/>
          <w:sz w:val="44"/>
          <w:szCs w:val="44"/>
          <w:highlight w:val="none"/>
        </w:rPr>
        <w:t>中山市选拔赛工作方案</w:t>
      </w:r>
    </w:p>
    <w:p w14:paraId="5E1DE62B">
      <w:pPr>
        <w:spacing w:line="560" w:lineRule="atLeast"/>
        <w:ind w:firstLine="616" w:firstLineChars="200"/>
        <w:jc w:val="left"/>
        <w:rPr>
          <w:rFonts w:cs="宋体"/>
          <w:color w:val="auto"/>
          <w:spacing w:val="-6"/>
          <w:highlight w:val="none"/>
        </w:rPr>
      </w:pPr>
    </w:p>
    <w:p w14:paraId="29B762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jc w:val="both"/>
        <w:rPr>
          <w:rFonts w:hint="eastAsia" w:ascii="仿宋_GB2312" w:hAnsi="仿宋_GB2312" w:cs="仿宋_GB2312"/>
          <w:color w:val="auto"/>
          <w:spacing w:val="-6"/>
          <w:kern w:val="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为深入贯彻落实习近平总书记关于技能人才工作的重要指示精神，全面推进新时代技能人才队伍建设，充分发挥职业技能竞赛以赛促学、以赛促训、以赛促建的引领作用，根据广东省人力资源和社会保障厅《关于举办广东省第</w:t>
      </w:r>
      <w:r>
        <w:rPr>
          <w:rFonts w:hint="eastAsia" w:ascii="仿宋_GB2312" w:hAnsi="仿宋_GB2312" w:cs="仿宋_GB2312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五</w:t>
      </w:r>
      <w:r>
        <w:rPr>
          <w:rFonts w:hint="eastAsia" w:ascii="仿宋_GB2312" w:hAnsi="仿宋_GB2312" w:eastAsia="仿宋_GB2312" w:cs="仿宋_GB2312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届职业技能大赛的通知》文件精神，结合我市技能人才培养工作实际，特制定本工作方案，规范有序开展广东省第</w:t>
      </w:r>
      <w:r>
        <w:rPr>
          <w:rFonts w:hint="eastAsia" w:ascii="仿宋_GB2312" w:hAnsi="仿宋_GB2312" w:cs="仿宋_GB2312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五</w:t>
      </w:r>
      <w:r>
        <w:rPr>
          <w:rFonts w:hint="eastAsia" w:ascii="仿宋_GB2312" w:hAnsi="仿宋_GB2312" w:eastAsia="仿宋_GB2312" w:cs="仿宋_GB2312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届职业技能大赛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（以下简称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  <w:lang w:eastAsia="zh-CN"/>
        </w:rPr>
        <w:t>“省赛”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中山市选拔赛各项工作。</w:t>
      </w:r>
    </w:p>
    <w:p w14:paraId="658305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黑体" w:hAnsi="黑体" w:eastAsia="黑体"/>
          <w:color w:val="auto"/>
          <w:spacing w:val="-6"/>
          <w:szCs w:val="32"/>
          <w:highlight w:val="none"/>
        </w:rPr>
      </w:pPr>
      <w:r>
        <w:rPr>
          <w:rFonts w:eastAsia="仿宋"/>
          <w:color w:val="auto"/>
          <w:spacing w:val="-6"/>
          <w:szCs w:val="32"/>
          <w:highlight w:val="none"/>
        </w:rPr>
        <w:t>　　</w:t>
      </w:r>
      <w:r>
        <w:rPr>
          <w:rFonts w:hint="eastAsia" w:ascii="黑体" w:hAnsi="黑体" w:eastAsia="黑体"/>
          <w:color w:val="auto"/>
          <w:spacing w:val="-6"/>
          <w:szCs w:val="32"/>
          <w:highlight w:val="none"/>
        </w:rPr>
        <w:t>一</w:t>
      </w:r>
      <w:r>
        <w:rPr>
          <w:rFonts w:ascii="黑体" w:hAnsi="黑体" w:eastAsia="黑体"/>
          <w:color w:val="auto"/>
          <w:spacing w:val="-6"/>
          <w:szCs w:val="32"/>
          <w:highlight w:val="none"/>
        </w:rPr>
        <w:t>、组织架构</w:t>
      </w:r>
    </w:p>
    <w:p w14:paraId="58F33B2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16" w:firstLineChars="200"/>
        <w:rPr>
          <w:rFonts w:hint="eastAsia" w:ascii="仿宋_GB2312" w:hAnsi="仿宋_GB2312" w:eastAsia="仿宋_GB2312" w:cs="仿宋_GB2312"/>
          <w:b w:val="0"/>
          <w:color w:val="auto"/>
          <w:spacing w:val="-6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color w:val="auto"/>
          <w:spacing w:val="-6"/>
          <w:szCs w:val="32"/>
          <w:highlight w:val="none"/>
        </w:rPr>
        <w:t>主办单位：中山市人力资源和社会保障局</w:t>
      </w:r>
    </w:p>
    <w:p w14:paraId="035459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</w:pP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　　承办单位：各赛项承办单位经遴选后另行通知</w:t>
      </w:r>
    </w:p>
    <w:p w14:paraId="6CD963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</w:pP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为加强组织领导，成立</w:t>
      </w:r>
      <w:r>
        <w:rPr>
          <w:rFonts w:hint="eastAsia" w:ascii="仿宋_GB2312" w:hAnsi="仿宋_GB2312" w:eastAsia="仿宋_GB2312" w:cs="仿宋_GB2312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广东省第</w:t>
      </w:r>
      <w:r>
        <w:rPr>
          <w:rFonts w:hint="eastAsia" w:ascii="仿宋_GB2312" w:hAnsi="仿宋_GB2312" w:cs="仿宋_GB2312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五</w:t>
      </w:r>
      <w:r>
        <w:rPr>
          <w:rFonts w:hint="eastAsia" w:ascii="仿宋_GB2312" w:hAnsi="仿宋_GB2312" w:eastAsia="仿宋_GB2312" w:cs="仿宋_GB2312"/>
          <w:color w:val="auto"/>
          <w:spacing w:val="-6"/>
          <w:kern w:val="2"/>
          <w:sz w:val="32"/>
          <w:szCs w:val="32"/>
          <w:highlight w:val="none"/>
          <w:lang w:val="en-US" w:eastAsia="zh-CN" w:bidi="ar-SA"/>
        </w:rPr>
        <w:t>届职业技能大赛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中山市选拔赛组委会（以下简称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  <w:lang w:eastAsia="zh-CN"/>
        </w:rPr>
        <w:t>“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组委会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），负责统筹决定和部署推动赛事有关重点工作，设在市人力资源社会保障局。组委会主任由市人力资源社会保障局党组书记、局长黄学礼担任，副主任由市人力资源社会保障局党组成员、市人力资源管理办公室主任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  <w:lang w:val="en-US" w:eastAsia="zh-CN"/>
        </w:rPr>
        <w:t>二级调研员吴海文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担任。组委会下设综合协调组和赛务与技术保障组，负责具体落实赛事组织协调、技术实施、活动执行等工作。</w:t>
      </w:r>
    </w:p>
    <w:p w14:paraId="2F4D45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</w:pP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（一）综合协调组</w:t>
      </w:r>
    </w:p>
    <w:p w14:paraId="1380E8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</w:pP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组长：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  <w:lang w:val="en-US" w:eastAsia="zh-CN"/>
        </w:rPr>
        <w:t>吴海文</w:t>
      </w:r>
    </w:p>
    <w:p w14:paraId="647272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jc w:val="left"/>
        <w:rPr>
          <w:rFonts w:hint="eastAsia" w:ascii="仿宋_GB2312" w:hAnsi="仿宋_GB2312" w:eastAsia="仿宋_GB2312" w:cs="仿宋_GB2312"/>
          <w:color w:val="auto"/>
          <w:spacing w:val="-6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成员：周秋菊、</w:t>
      </w:r>
      <w:r>
        <w:rPr>
          <w:rFonts w:hint="eastAsia" w:ascii="仿宋_GB2312" w:hAnsi="仿宋_GB2312" w:eastAsia="仿宋_GB2312" w:cs="仿宋_GB2312"/>
          <w:color w:val="auto"/>
          <w:spacing w:val="-6"/>
          <w:kern w:val="2"/>
          <w:sz w:val="32"/>
          <w:szCs w:val="32"/>
          <w:highlight w:val="none"/>
          <w:lang w:val="en-US" w:eastAsia="zh-CN" w:bidi="ar"/>
        </w:rPr>
        <w:t>黄海清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、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  <w:lang w:val="en-US" w:eastAsia="zh-CN"/>
        </w:rPr>
        <w:t>符莎、刘炜韦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、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  <w:lang w:val="en-US" w:eastAsia="zh-CN"/>
        </w:rPr>
        <w:t>张志阳</w:t>
      </w:r>
    </w:p>
    <w:p w14:paraId="4FEC56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</w:pP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职责：制定市选拔赛工作方案，发布竞赛通知，明确工作职责，督促落实各项工作；负责赛事的总体组织与推进，沟通、联络、布置等具体项目跟进与落实；遴选各赛项承办单位，组建中山市代表队；统一协调、指挥处理各类突发事件。</w:t>
      </w:r>
    </w:p>
    <w:p w14:paraId="6E52FA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</w:pP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（二）赛务与技术保障组</w:t>
      </w:r>
    </w:p>
    <w:p w14:paraId="727F45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</w:pP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组长：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  <w:lang w:eastAsia="zh-CN"/>
        </w:rPr>
        <w:t>李学敏、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  <w:lang w:val="en-US" w:eastAsia="zh-CN"/>
        </w:rPr>
        <w:t>黄海清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、符莎</w:t>
      </w:r>
    </w:p>
    <w:p w14:paraId="4ED3E5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rPr>
          <w:rFonts w:hint="default" w:ascii="仿宋_GB2312" w:hAnsi="仿宋_GB2312" w:cs="仿宋_GB2312"/>
          <w:color w:val="auto"/>
          <w:spacing w:val="-6"/>
          <w:szCs w:val="32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成员：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  <w:lang w:eastAsia="zh-CN"/>
        </w:rPr>
        <w:t>邹烈斌、陈益友、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  <w:lang w:val="en-US" w:eastAsia="zh-CN"/>
        </w:rPr>
        <w:t>黄霞娟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、汝振广、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  <w:lang w:val="en-US" w:eastAsia="zh-CN"/>
        </w:rPr>
        <w:t>江群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、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  <w:lang w:val="en-US" w:eastAsia="zh-CN"/>
        </w:rPr>
        <w:t>林文标</w:t>
      </w:r>
    </w:p>
    <w:p w14:paraId="0CC2C3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</w:pP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职责：负责各阶段的具体组织工作，负责比赛运行及各竞赛项目技术支持等方面的协调、管理与实施；负责</w:t>
      </w:r>
      <w:r>
        <w:rPr>
          <w:rFonts w:hint="eastAsia" w:ascii="仿宋_GB2312" w:hAnsi="仿宋_GB2312" w:cs="仿宋_GB2312"/>
          <w:snapToGrid w:val="0"/>
          <w:color w:val="auto"/>
          <w:spacing w:val="-6"/>
          <w:kern w:val="0"/>
          <w:szCs w:val="32"/>
          <w:highlight w:val="none"/>
        </w:rPr>
        <w:t>赛前赛务与技术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指导</w:t>
      </w:r>
      <w:r>
        <w:rPr>
          <w:rFonts w:hint="eastAsia" w:ascii="仿宋_GB2312" w:hAnsi="仿宋_GB2312" w:cs="仿宋_GB2312"/>
          <w:snapToGrid w:val="0"/>
          <w:color w:val="auto"/>
          <w:spacing w:val="-6"/>
          <w:kern w:val="0"/>
          <w:szCs w:val="32"/>
          <w:highlight w:val="none"/>
        </w:rPr>
        <w:t>、竞赛过程保障与督导、仲裁申诉等</w:t>
      </w:r>
      <w:r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  <w:t>；审核各赛项裁判长、</w:t>
      </w:r>
      <w:r>
        <w:rPr>
          <w:rFonts w:hint="eastAsia" w:ascii="仿宋_GB2312" w:hAnsi="仿宋_GB2312" w:cs="仿宋_GB2312"/>
          <w:snapToGrid w:val="0"/>
          <w:color w:val="auto"/>
          <w:spacing w:val="-6"/>
          <w:kern w:val="0"/>
          <w:szCs w:val="32"/>
          <w:highlight w:val="none"/>
        </w:rPr>
        <w:t>技术负责人、裁判人员等队伍组建。</w:t>
      </w:r>
    </w:p>
    <w:p w14:paraId="5332C70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16" w:firstLineChars="200"/>
        <w:rPr>
          <w:rFonts w:hint="eastAsia" w:ascii="黑体" w:hAnsi="黑体"/>
          <w:b w:val="0"/>
          <w:color w:val="auto"/>
          <w:spacing w:val="-6"/>
          <w:szCs w:val="32"/>
          <w:highlight w:val="none"/>
        </w:rPr>
      </w:pPr>
      <w:r>
        <w:rPr>
          <w:rFonts w:hint="eastAsia" w:ascii="黑体" w:hAnsi="黑体"/>
          <w:b w:val="0"/>
          <w:color w:val="auto"/>
          <w:spacing w:val="-6"/>
          <w:szCs w:val="32"/>
          <w:highlight w:val="none"/>
        </w:rPr>
        <w:t>二</w:t>
      </w:r>
      <w:r>
        <w:rPr>
          <w:rFonts w:ascii="黑体" w:hAnsi="黑体"/>
          <w:b w:val="0"/>
          <w:color w:val="auto"/>
          <w:spacing w:val="-6"/>
          <w:szCs w:val="32"/>
          <w:highlight w:val="none"/>
        </w:rPr>
        <w:t>、办赛原则</w:t>
      </w:r>
    </w:p>
    <w:p w14:paraId="569E0B7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left"/>
        <w:rPr>
          <w:rFonts w:hint="eastAsia" w:ascii="仿宋_GB2312" w:hAnsi="仿宋_GB2312" w:cs="仿宋_GB2312"/>
          <w:color w:val="auto"/>
          <w:spacing w:val="-6"/>
          <w:kern w:val="0"/>
          <w:szCs w:val="32"/>
          <w:highlight w:val="none"/>
        </w:rPr>
      </w:pPr>
      <w:r>
        <w:rPr>
          <w:rFonts w:hint="eastAsia" w:ascii="仿宋_GB2312" w:hAnsi="仿宋_GB2312" w:cs="仿宋_GB2312"/>
          <w:color w:val="auto"/>
          <w:spacing w:val="-6"/>
          <w:kern w:val="0"/>
          <w:szCs w:val="32"/>
          <w:highlight w:val="none"/>
        </w:rPr>
        <w:t>（一）产业赋能、链才融合原则。紧扣中山市“十五五”现代化产业体系建设与新质生产力培育要求，对接省市重点产业集群发展布局，聚焦中山优势产业与新兴产业技能需求。坚持以赛育才、以赛引才、以赛促产，贯通人才、产业、创新、政策要素链条，补齐高技能人才短板，赋能产业转型升级与高质量发展。</w:t>
      </w:r>
    </w:p>
    <w:p w14:paraId="5915E1C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left"/>
        <w:rPr>
          <w:rFonts w:hint="eastAsia" w:ascii="仿宋_GB2312" w:hAnsi="仿宋_GB2312" w:cs="仿宋_GB2312"/>
          <w:color w:val="auto"/>
          <w:spacing w:val="-6"/>
          <w:kern w:val="0"/>
          <w:szCs w:val="32"/>
          <w:highlight w:val="none"/>
        </w:rPr>
      </w:pPr>
      <w:r>
        <w:rPr>
          <w:rFonts w:hint="eastAsia" w:ascii="仿宋_GB2312" w:hAnsi="仿宋_GB2312" w:cs="仿宋_GB2312"/>
          <w:color w:val="auto"/>
          <w:spacing w:val="-6"/>
          <w:kern w:val="0"/>
          <w:szCs w:val="32"/>
          <w:highlight w:val="none"/>
        </w:rPr>
        <w:t>（二）开放协同、公平规范原则。立足粤港澳大湾区开放协同发展定位，整合政企校社各类优质办赛资源，积极引入行业企业、社会组织力量参与办赛，构建多元联动的赛事工作格局。全面借鉴世赛、国赛成熟办赛体系与管理经验，细化完善赛事技术标准、裁判执裁流程、全程监督机制，严格把控赛事关键环节，实行全流程公开透明管理，坚决杜绝违规违纪行为，全方位保障赛事公平、公正、规范有序开展。</w:t>
      </w:r>
    </w:p>
    <w:p w14:paraId="6D27C8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left"/>
        <w:rPr>
          <w:rFonts w:hint="eastAsia" w:ascii="仿宋_GB2312" w:hAnsi="仿宋_GB2312" w:cs="仿宋_GB2312"/>
          <w:color w:val="auto"/>
          <w:spacing w:val="-6"/>
          <w:kern w:val="0"/>
          <w:szCs w:val="32"/>
          <w:highlight w:val="none"/>
        </w:rPr>
      </w:pPr>
      <w:r>
        <w:rPr>
          <w:rFonts w:hint="eastAsia" w:ascii="仿宋_GB2312" w:hAnsi="仿宋_GB2312" w:cs="仿宋_GB2312"/>
          <w:color w:val="auto"/>
          <w:spacing w:val="-6"/>
          <w:kern w:val="0"/>
          <w:szCs w:val="32"/>
          <w:highlight w:val="none"/>
        </w:rPr>
        <w:t>（三）对标</w:t>
      </w:r>
      <w:r>
        <w:rPr>
          <w:rFonts w:hint="eastAsia" w:ascii="仿宋_GB2312" w:hAnsi="仿宋_GB2312" w:cs="仿宋_GB2312"/>
          <w:color w:val="auto"/>
          <w:spacing w:val="-6"/>
          <w:kern w:val="2"/>
          <w:szCs w:val="32"/>
          <w:highlight w:val="none"/>
        </w:rPr>
        <w:t>提质、高端引领原则。坚持高质量办赛核心导向，</w:t>
      </w:r>
      <w:r>
        <w:rPr>
          <w:rFonts w:hint="default" w:ascii="仿宋_GB2312" w:hAnsi="仿宋_GB2312" w:cs="仿宋_GB2312"/>
          <w:color w:val="auto"/>
          <w:spacing w:val="-6"/>
          <w:kern w:val="2"/>
          <w:szCs w:val="32"/>
          <w:highlight w:val="none"/>
        </w:rPr>
        <w:t>全面对标世赛、国赛先进办赛理念、运营模式、技术标准和人才评价体系。以高标准赛事建设为抓手，倒逼全市技能培训、产教融合、人才评价体系提质升级，推动技能人才培养标准化、规范化、高端化，深化粤港澳大湾区技能交流与人才协作，持续夯实我市高技能人才培育基础，助力产业高质量发展。</w:t>
      </w:r>
    </w:p>
    <w:p w14:paraId="69FC4B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7" w:firstLineChars="220"/>
        <w:rPr>
          <w:rFonts w:eastAsia="仿宋"/>
          <w:color w:val="auto"/>
          <w:spacing w:val="-6"/>
          <w:kern w:val="0"/>
          <w:szCs w:val="32"/>
          <w:highlight w:val="none"/>
        </w:rPr>
      </w:pPr>
      <w:r>
        <w:rPr>
          <w:rFonts w:hint="eastAsia" w:ascii="黑体" w:hAnsi="黑体" w:eastAsia="黑体"/>
          <w:color w:val="auto"/>
          <w:spacing w:val="-6"/>
          <w:szCs w:val="32"/>
          <w:highlight w:val="none"/>
        </w:rPr>
        <w:t>三</w:t>
      </w:r>
      <w:r>
        <w:rPr>
          <w:rFonts w:ascii="黑体" w:hAnsi="黑体" w:eastAsia="黑体"/>
          <w:color w:val="auto"/>
          <w:spacing w:val="-6"/>
          <w:szCs w:val="32"/>
          <w:highlight w:val="none"/>
        </w:rPr>
        <w:t>、赛事安排</w:t>
      </w:r>
    </w:p>
    <w:p w14:paraId="62955B2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textAlignment w:val="baseline"/>
        <w:rPr>
          <w:rStyle w:val="9"/>
          <w:rFonts w:hint="eastAsia" w:ascii="仿宋_GB2312" w:hAnsi="仿宋_GB2312" w:eastAsia="仿宋_GB2312" w:cs="仿宋_GB2312"/>
          <w:b w:val="0"/>
          <w:color w:val="auto"/>
          <w:spacing w:val="-6"/>
          <w:sz w:val="32"/>
          <w:szCs w:val="32"/>
          <w:highlight w:val="none"/>
        </w:rPr>
      </w:pPr>
      <w:r>
        <w:rPr>
          <w:rStyle w:val="9"/>
          <w:rFonts w:hint="eastAsia" w:ascii="仿宋_GB2312" w:hAnsi="仿宋_GB2312" w:eastAsia="仿宋_GB2312" w:cs="仿宋_GB2312"/>
          <w:b w:val="0"/>
          <w:color w:val="auto"/>
          <w:spacing w:val="-6"/>
          <w:sz w:val="32"/>
          <w:szCs w:val="32"/>
          <w:highlight w:val="none"/>
        </w:rPr>
        <w:t>（一）竞赛项目</w:t>
      </w:r>
    </w:p>
    <w:p w14:paraId="16A8220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textAlignment w:val="baseline"/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本次竞赛</w:t>
      </w:r>
      <w:r>
        <w:rPr>
          <w:rFonts w:hint="eastAsia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eastAsia="zh-CN"/>
        </w:rPr>
        <w:t>项目</w:t>
      </w:r>
      <w:r>
        <w:rPr>
          <w:rFonts w:hint="eastAsia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/>
        </w:rPr>
        <w:t>拟在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10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个竞赛项目</w:t>
      </w:r>
      <w:r>
        <w:rPr>
          <w:rFonts w:hint="eastAsia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eastAsia="zh-CN"/>
        </w:rPr>
        <w:t>征集产生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，其中包括世界技能大赛选拔项目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/>
        </w:rPr>
        <w:t>64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个，国赛精选项目40个。各项目根据国赛或省选拔赛要求设定比赛形式、参赛条件等。</w:t>
      </w:r>
    </w:p>
    <w:p w14:paraId="51AFA83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textAlignment w:val="baseline"/>
        <w:rPr>
          <w:rStyle w:val="9"/>
          <w:rFonts w:hint="default" w:ascii="Times New Roman" w:hAnsi="Times New Roman" w:eastAsia="仿宋_GB2312" w:cs="Times New Roman"/>
          <w:b w:val="0"/>
          <w:color w:val="auto"/>
          <w:spacing w:val="-6"/>
          <w:sz w:val="32"/>
          <w:szCs w:val="32"/>
          <w:highlight w:val="none"/>
        </w:rPr>
      </w:pPr>
      <w:r>
        <w:rPr>
          <w:rStyle w:val="9"/>
          <w:rFonts w:hint="default" w:ascii="Times New Roman" w:hAnsi="Times New Roman" w:eastAsia="仿宋_GB2312" w:cs="Times New Roman"/>
          <w:b w:val="0"/>
          <w:color w:val="auto"/>
          <w:spacing w:val="-6"/>
          <w:sz w:val="32"/>
          <w:szCs w:val="32"/>
          <w:highlight w:val="none"/>
        </w:rPr>
        <w:t>（二）赛项组织</w:t>
      </w:r>
    </w:p>
    <w:p w14:paraId="0A12042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textAlignment w:val="baseline"/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本次市选拔赛各项目不分设职工组和学生组，各项目由承办单位另行成立相应的组织管理架构负责组织实施。</w:t>
      </w:r>
    </w:p>
    <w:p w14:paraId="4CEB389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textAlignment w:val="baseline"/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</w:pPr>
      <w:r>
        <w:rPr>
          <w:rStyle w:val="9"/>
          <w:rFonts w:hint="default" w:ascii="Times New Roman" w:hAnsi="Times New Roman" w:eastAsia="仿宋_GB2312" w:cs="Times New Roman"/>
          <w:b w:val="0"/>
          <w:color w:val="auto"/>
          <w:spacing w:val="-6"/>
          <w:sz w:val="32"/>
          <w:szCs w:val="32"/>
          <w:highlight w:val="none"/>
        </w:rPr>
        <w:t>（三）时间安排</w:t>
      </w:r>
    </w:p>
    <w:p w14:paraId="4BD8EA5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  <w:t>第一阶段：组织发动报名（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/>
        </w:rPr>
        <w:t>28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日前）；</w:t>
      </w:r>
    </w:p>
    <w:p w14:paraId="245233A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40" w:leftChars="200"/>
        <w:rPr>
          <w:rFonts w:hint="eastAsia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第二阶段：开展市级选拔赛（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日前）</w:t>
      </w:r>
      <w:r>
        <w:rPr>
          <w:rFonts w:hint="eastAsia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/>
        </w:rPr>
        <w:t>如省赛相关</w:t>
      </w:r>
    </w:p>
    <w:p w14:paraId="23DDC2B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/>
        </w:rPr>
        <w:t>项目比赛时间确定，市选拔赛相关项目比赛时间须提前举行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；</w:t>
      </w:r>
    </w:p>
    <w:p w14:paraId="463FBC3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第三阶段：组织市代表队参加省赛（待定）。</w:t>
      </w:r>
    </w:p>
    <w:p w14:paraId="490E7CA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highlight w:val="none"/>
        </w:rPr>
        <w:t>　　</w:t>
      </w:r>
      <w:r>
        <w:rPr>
          <w:rStyle w:val="9"/>
          <w:rFonts w:hint="eastAsia" w:ascii="仿宋_GB2312" w:hAnsi="仿宋_GB2312" w:eastAsia="仿宋_GB2312" w:cs="仿宋_GB2312"/>
          <w:b w:val="0"/>
          <w:color w:val="auto"/>
          <w:spacing w:val="-6"/>
          <w:sz w:val="32"/>
          <w:szCs w:val="32"/>
          <w:highlight w:val="none"/>
        </w:rPr>
        <w:t>（四）比赛地点</w:t>
      </w:r>
    </w:p>
    <w:p w14:paraId="245D3AB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highlight w:val="none"/>
        </w:rPr>
        <w:t>　　各项目竞赛地点由承办单位商组委会确定后另行通知。</w:t>
      </w:r>
    </w:p>
    <w:p w14:paraId="0FB393A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textAlignment w:val="baseline"/>
        <w:rPr>
          <w:rStyle w:val="9"/>
          <w:rFonts w:hint="eastAsia" w:ascii="仿宋_GB2312" w:hAnsi="仿宋_GB2312" w:eastAsia="仿宋_GB2312" w:cs="仿宋_GB2312"/>
          <w:b w:val="0"/>
          <w:color w:val="auto"/>
          <w:spacing w:val="-6"/>
          <w:sz w:val="32"/>
          <w:szCs w:val="32"/>
          <w:highlight w:val="none"/>
        </w:rPr>
      </w:pPr>
      <w:r>
        <w:rPr>
          <w:rStyle w:val="9"/>
          <w:rFonts w:hint="eastAsia" w:ascii="仿宋_GB2312" w:hAnsi="仿宋_GB2312" w:eastAsia="仿宋_GB2312" w:cs="仿宋_GB2312"/>
          <w:b w:val="0"/>
          <w:color w:val="auto"/>
          <w:spacing w:val="-6"/>
          <w:sz w:val="32"/>
          <w:szCs w:val="32"/>
          <w:highlight w:val="none"/>
        </w:rPr>
        <w:t>（五）参赛方式</w:t>
      </w:r>
    </w:p>
    <w:p w14:paraId="0DE1CEA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/>
        <w:textAlignment w:val="baseline"/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highlight w:val="none"/>
        </w:rPr>
        <w:t>面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  <w:t>向全市接受报名，具体报名要求以各赛项通知为准。各赛项根据报名情况组织开展初赛、决赛。每个单位每个项目限报3人（组），每人限报1个项目。</w:t>
      </w:r>
    </w:p>
    <w:p w14:paraId="18986C7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textAlignment w:val="baseline"/>
        <w:rPr>
          <w:rStyle w:val="9"/>
          <w:rFonts w:hint="eastAsia" w:ascii="仿宋_GB2312" w:hAnsi="仿宋_GB2312" w:eastAsia="仿宋_GB2312" w:cs="仿宋_GB2312"/>
          <w:b w:val="0"/>
          <w:color w:val="auto"/>
          <w:spacing w:val="-6"/>
          <w:sz w:val="32"/>
          <w:szCs w:val="32"/>
          <w:highlight w:val="none"/>
        </w:rPr>
      </w:pPr>
      <w:r>
        <w:rPr>
          <w:rStyle w:val="9"/>
          <w:rFonts w:hint="eastAsia" w:ascii="仿宋_GB2312" w:hAnsi="仿宋_GB2312" w:eastAsia="仿宋_GB2312" w:cs="仿宋_GB2312"/>
          <w:b w:val="0"/>
          <w:color w:val="auto"/>
          <w:spacing w:val="-6"/>
          <w:sz w:val="32"/>
          <w:szCs w:val="32"/>
          <w:highlight w:val="none"/>
        </w:rPr>
        <w:t>（六）报名条件</w:t>
      </w:r>
    </w:p>
    <w:p w14:paraId="24EAFC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</w:pP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1. 年龄要求：按照中山属地原则，报名时年满16周岁以上、尚未达到法定退休年龄的我市就业人员、居民及学生，在我市工作、生活和学习连续满1年以上的，均可报名参赛。</w:t>
      </w:r>
    </w:p>
    <w:p w14:paraId="57C49B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</w:pP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（1）世界技能大赛选拔项目的选手，应为200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  <w:lang w:eastAsia="zh-CN"/>
        </w:rPr>
        <w:t>6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年1月1日以后出生（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</w:rPr>
        <w:t>飞机维修、数字建造、信息通信技术网络基础设施、机电一体化、网络安全、水处理技术、云计算、光电技术、工业 4.0、工业设计技术、机器人系统集成、增材制造、口腔修复工艺技术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等13个项目选手为200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  <w:lang w:eastAsia="zh-CN"/>
        </w:rPr>
        <w:t>3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年1月1日以后出生）。</w:t>
      </w:r>
    </w:p>
    <w:p w14:paraId="0B5812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rPr>
          <w:rFonts w:hint="default" w:ascii="Times New Roman" w:hAnsi="Times New Roman" w:eastAsia="仿宋_GB2312" w:cs="Times New Roman"/>
          <w:color w:val="auto"/>
          <w:spacing w:val="-6"/>
          <w:szCs w:val="32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（2）国赛精选项目选手应为相应职业从业人员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  <w:lang w:eastAsia="zh-CN"/>
        </w:rPr>
        <w:t>，具体资格要求以人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  <w:lang w:val="en-US" w:eastAsia="zh-CN"/>
        </w:rPr>
        <w:t>社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  <w:lang w:eastAsia="zh-CN"/>
        </w:rPr>
        <w:t>部正式公布</w:t>
      </w:r>
      <w:r>
        <w:rPr>
          <w:rFonts w:hint="eastAsia" w:cs="Times New Roman"/>
          <w:color w:val="auto"/>
          <w:spacing w:val="-6"/>
          <w:szCs w:val="32"/>
          <w:highlight w:val="none"/>
          <w:lang w:val="en-US" w:eastAsia="zh-CN"/>
        </w:rPr>
        <w:t>通知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  <w:lang w:eastAsia="zh-CN"/>
        </w:rPr>
        <w:t>的为准。</w:t>
      </w:r>
    </w:p>
    <w:p w14:paraId="570689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</w:pP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2. 其他要求：思想品德优秀、身心健康，具备相应职业（工种）扎实的基本功和技能水平，有较强学习领悟能力和良好的身体素质、心理素质及应变能力。</w:t>
      </w:r>
    </w:p>
    <w:p w14:paraId="468299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rPr>
          <w:rFonts w:hint="default" w:ascii="Times New Roman" w:hAnsi="Times New Roman" w:eastAsia="仿宋_GB2312" w:cs="Times New Roman"/>
          <w:color w:val="auto"/>
          <w:spacing w:val="-6"/>
          <w:szCs w:val="32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  <w:lang w:val="en-US" w:eastAsia="zh-CN"/>
        </w:rPr>
        <w:t>七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  <w:lang w:eastAsia="zh-CN"/>
        </w:rPr>
        <w:t>）关于国赛精选项目的特别说明</w:t>
      </w:r>
    </w:p>
    <w:p w14:paraId="03EBE0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</w:pP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鉴于国赛精选</w:t>
      </w:r>
      <w:r>
        <w:rPr>
          <w:rFonts w:hint="eastAsia" w:cs="Times New Roman"/>
          <w:color w:val="auto"/>
          <w:spacing w:val="-6"/>
          <w:szCs w:val="32"/>
          <w:highlight w:val="none"/>
          <w:lang w:val="en-US" w:eastAsia="zh-CN"/>
        </w:rPr>
        <w:t>类的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具体比赛项目及选手资格尚未正式公布，</w:t>
      </w:r>
      <w:r>
        <w:rPr>
          <w:rFonts w:hint="eastAsia" w:cs="Times New Roman"/>
          <w:color w:val="auto"/>
          <w:spacing w:val="-6"/>
          <w:szCs w:val="32"/>
          <w:highlight w:val="none"/>
          <w:lang w:val="en-US" w:eastAsia="zh-CN"/>
        </w:rPr>
        <w:t>待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人社部</w:t>
      </w:r>
      <w:r>
        <w:rPr>
          <w:rFonts w:hint="eastAsia" w:cs="Times New Roman"/>
          <w:color w:val="auto"/>
          <w:spacing w:val="-6"/>
          <w:szCs w:val="32"/>
          <w:highlight w:val="none"/>
          <w:lang w:val="en-US" w:eastAsia="zh-CN"/>
        </w:rPr>
        <w:t>通知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后将另行发布补充通知予以明确。各意向承办单位可先行参考第三届全国技能大赛国赛精选</w:t>
      </w:r>
      <w:r>
        <w:rPr>
          <w:rFonts w:hint="eastAsia" w:cs="Times New Roman"/>
          <w:color w:val="auto"/>
          <w:spacing w:val="-6"/>
          <w:szCs w:val="32"/>
          <w:highlight w:val="none"/>
          <w:lang w:val="en-US" w:eastAsia="zh-CN"/>
        </w:rPr>
        <w:t>类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项目</w:t>
      </w:r>
      <w:r>
        <w:rPr>
          <w:rFonts w:hint="eastAsia" w:cs="Times New Roman"/>
          <w:color w:val="auto"/>
          <w:spacing w:val="-6"/>
          <w:szCs w:val="32"/>
          <w:highlight w:val="none"/>
          <w:lang w:eastAsia="zh-CN"/>
        </w:rPr>
        <w:t>（</w:t>
      </w:r>
      <w:r>
        <w:rPr>
          <w:rFonts w:hint="eastAsia" w:cs="Times New Roman"/>
          <w:color w:val="auto"/>
          <w:spacing w:val="-6"/>
          <w:szCs w:val="32"/>
          <w:highlight w:val="none"/>
          <w:lang w:val="en-US" w:eastAsia="zh-CN"/>
        </w:rPr>
        <w:t>40项</w:t>
      </w:r>
      <w:r>
        <w:rPr>
          <w:rFonts w:hint="eastAsia" w:cs="Times New Roman"/>
          <w:color w:val="auto"/>
          <w:spacing w:val="-6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进行筹备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  <w:lang w:val="en-US" w:eastAsia="zh-CN"/>
        </w:rPr>
        <w:t>及</w:t>
      </w:r>
      <w:r>
        <w:rPr>
          <w:rFonts w:hint="eastAsia" w:cs="Times New Roman"/>
          <w:color w:val="auto"/>
          <w:spacing w:val="-6"/>
          <w:szCs w:val="32"/>
          <w:highlight w:val="none"/>
          <w:lang w:val="en-US" w:eastAsia="zh-CN"/>
        </w:rPr>
        <w:t>预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  <w:lang w:val="en-US" w:eastAsia="zh-CN"/>
        </w:rPr>
        <w:t>申报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。最终赛项以人社部正式公布</w:t>
      </w:r>
      <w:r>
        <w:rPr>
          <w:rFonts w:hint="eastAsia" w:cs="Times New Roman"/>
          <w:color w:val="auto"/>
          <w:spacing w:val="-6"/>
          <w:szCs w:val="32"/>
          <w:highlight w:val="none"/>
          <w:lang w:val="en-US" w:eastAsia="zh-CN"/>
        </w:rPr>
        <w:t>通知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为准，各</w:t>
      </w:r>
      <w:r>
        <w:rPr>
          <w:rFonts w:hint="eastAsia" w:cs="Times New Roman"/>
          <w:color w:val="auto"/>
          <w:spacing w:val="-6"/>
          <w:szCs w:val="32"/>
          <w:highlight w:val="none"/>
          <w:lang w:val="en-US" w:eastAsia="zh-CN"/>
        </w:rPr>
        <w:t>意向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承办单位应保持关注并做好相应筹备衔接工作。</w:t>
      </w:r>
    </w:p>
    <w:p w14:paraId="6A2170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rPr>
          <w:rFonts w:hint="eastAsia" w:ascii="黑体" w:hAnsi="黑体" w:eastAsia="黑体"/>
          <w:color w:val="auto"/>
          <w:spacing w:val="-6"/>
          <w:szCs w:val="32"/>
          <w:highlight w:val="none"/>
        </w:rPr>
      </w:pPr>
      <w:r>
        <w:rPr>
          <w:rFonts w:hint="eastAsia" w:ascii="黑体" w:hAnsi="黑体" w:eastAsia="黑体"/>
          <w:color w:val="auto"/>
          <w:spacing w:val="-6"/>
          <w:szCs w:val="32"/>
          <w:highlight w:val="none"/>
        </w:rPr>
        <w:t>四</w:t>
      </w:r>
      <w:r>
        <w:rPr>
          <w:rFonts w:ascii="黑体" w:hAnsi="黑体" w:eastAsia="黑体"/>
          <w:color w:val="auto"/>
          <w:spacing w:val="-6"/>
          <w:szCs w:val="32"/>
          <w:highlight w:val="none"/>
        </w:rPr>
        <w:t>、经费保障</w:t>
      </w:r>
    </w:p>
    <w:p w14:paraId="22AEC1B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本次选拔赛不收取任何费用。各赛项办赛费用及市代表队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/>
        </w:rPr>
        <w:t>选手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集训费用由承办单位承担。参加国赛及省选拔赛的参赛选手及相关人员往返交通费、食宿费及人身意外伤害保险等费用，按《关于印发中山市职业技能竞赛管理办法的通知》（中人社规字〔2023〕3号，中人社发〔2023〕38号）执行。</w:t>
      </w:r>
    </w:p>
    <w:p w14:paraId="56ED29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rPr>
          <w:rFonts w:hint="eastAsia" w:ascii="黑体" w:hAnsi="黑体" w:eastAsia="黑体"/>
          <w:color w:val="auto"/>
          <w:spacing w:val="-6"/>
          <w:szCs w:val="32"/>
          <w:highlight w:val="none"/>
        </w:rPr>
      </w:pPr>
      <w:r>
        <w:rPr>
          <w:rFonts w:hint="eastAsia" w:ascii="黑体" w:hAnsi="黑体" w:eastAsia="黑体"/>
          <w:color w:val="auto"/>
          <w:spacing w:val="-6"/>
          <w:szCs w:val="32"/>
          <w:highlight w:val="none"/>
        </w:rPr>
        <w:t>五</w:t>
      </w:r>
      <w:r>
        <w:rPr>
          <w:rFonts w:ascii="黑体" w:hAnsi="黑体" w:eastAsia="黑体"/>
          <w:color w:val="auto"/>
          <w:spacing w:val="-6"/>
          <w:szCs w:val="32"/>
          <w:highlight w:val="none"/>
        </w:rPr>
        <w:t>、表彰奖励</w:t>
      </w:r>
    </w:p>
    <w:p w14:paraId="59397B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rPr>
          <w:rFonts w:hint="eastAsia" w:ascii="仿宋_GB2312" w:hAnsi="仿宋_GB2312" w:cs="仿宋_GB2312"/>
          <w:color w:val="auto"/>
          <w:spacing w:val="-6"/>
          <w:szCs w:val="32"/>
          <w:highlight w:val="none"/>
        </w:rPr>
      </w:pP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市级选拔赛不设奖金，获奖选手经组委会审核后，按省相关要求依</w:t>
      </w:r>
      <w:r>
        <w:rPr>
          <w:rFonts w:hint="eastAsia" w:cs="Times New Roman"/>
          <w:color w:val="auto"/>
          <w:spacing w:val="-6"/>
          <w:szCs w:val="32"/>
          <w:highlight w:val="none"/>
          <w:lang w:val="en-US" w:eastAsia="zh-CN"/>
        </w:rPr>
        <w:t>竞赛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成绩名次推荐</w:t>
      </w:r>
      <w:r>
        <w:rPr>
          <w:rFonts w:hint="eastAsia" w:cs="Times New Roman"/>
          <w:color w:val="auto"/>
          <w:spacing w:val="-6"/>
          <w:szCs w:val="32"/>
          <w:highlight w:val="none"/>
          <w:lang w:val="en-US" w:eastAsia="zh-CN"/>
        </w:rPr>
        <w:t>相关单位选手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入选中山市代表队参加省赛。代表中山</w:t>
      </w:r>
      <w:r>
        <w:rPr>
          <w:rFonts w:hint="eastAsia" w:cs="Times New Roman"/>
          <w:color w:val="auto"/>
          <w:spacing w:val="-6"/>
          <w:szCs w:val="32"/>
          <w:highlight w:val="none"/>
          <w:lang w:val="en-US" w:eastAsia="zh-CN"/>
        </w:rPr>
        <w:t>市</w:t>
      </w:r>
      <w:r>
        <w:rPr>
          <w:rFonts w:hint="default" w:ascii="Times New Roman" w:hAnsi="Times New Roman" w:cs="Times New Roman"/>
          <w:color w:val="auto"/>
          <w:spacing w:val="-6"/>
          <w:szCs w:val="32"/>
          <w:highlight w:val="none"/>
        </w:rPr>
        <w:t>参加省赛的选手及相关人员的表彰奖励按《关于印发中山市职业技能竞赛管理办法的通知》（中人社规字〔2023〕3号，中人社发〔2023〕38号）执行。</w:t>
      </w:r>
    </w:p>
    <w:p w14:paraId="3BCE89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rPr>
          <w:rFonts w:hint="eastAsia" w:ascii="黑体" w:hAnsi="黑体" w:eastAsia="黑体"/>
          <w:color w:val="auto"/>
          <w:spacing w:val="-6"/>
          <w:szCs w:val="32"/>
          <w:highlight w:val="none"/>
        </w:rPr>
      </w:pPr>
      <w:r>
        <w:rPr>
          <w:rFonts w:hint="eastAsia" w:ascii="黑体" w:hAnsi="黑体" w:eastAsia="黑体"/>
          <w:color w:val="auto"/>
          <w:spacing w:val="-6"/>
          <w:szCs w:val="32"/>
          <w:highlight w:val="none"/>
        </w:rPr>
        <w:t>六</w:t>
      </w:r>
      <w:r>
        <w:rPr>
          <w:rFonts w:ascii="黑体" w:hAnsi="黑体" w:eastAsia="黑体"/>
          <w:color w:val="auto"/>
          <w:spacing w:val="-6"/>
          <w:szCs w:val="32"/>
          <w:highlight w:val="none"/>
        </w:rPr>
        <w:t>、有关要求</w:t>
      </w:r>
    </w:p>
    <w:p w14:paraId="52F1A83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（一）各有关单位要高度重视，充分认识举办本次选拔赛的重大意义，积极动员符合条件人员报名参赛，并做好赛事新闻宣传报道工作，比赛期间要严格管理本单位参赛人员，遵守赛事各项管理规则，确保各赛项顺利进行。</w:t>
      </w:r>
    </w:p>
    <w:p w14:paraId="0781421F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（二）各赛项承办单位要公平公正组织开展竞赛活动，对接世赛或国赛技术标准和竞赛规则，紧密结合经济社会发展实际，认真研究制定竞赛实施方案和技术文件，明确竞赛参照标准、竞赛时间、地点等相关问题，确保赛出质量、赛出水平。竞赛实施方案、技术文件</w:t>
      </w:r>
      <w:r>
        <w:rPr>
          <w:rFonts w:hint="eastAsia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/>
        </w:rPr>
        <w:t>赛程安排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等须</w:t>
      </w:r>
      <w:r>
        <w:rPr>
          <w:rFonts w:hint="eastAsia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  <w:lang w:val="en-US" w:eastAsia="zh-CN"/>
        </w:rPr>
        <w:t>于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赛前10天予以公布。</w:t>
      </w:r>
    </w:p>
    <w:p w14:paraId="289A1C1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baseline"/>
        <w:rPr>
          <w:rFonts w:hint="eastAsia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（三）各有关单位要充分利用多种宣传渠道对市选拔赛进行宣传引导，进一步提升大赛的知名度和影响力，做到以赛促学、以赛促训、以赛促研、以赛促用，不断提高广大技能劳动者的技能技艺水平。</w:t>
      </w:r>
    </w:p>
    <w:p w14:paraId="604A1E1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16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pacing w:val="-6"/>
          <w:kern w:val="2"/>
          <w:sz w:val="32"/>
          <w:szCs w:val="32"/>
          <w:highlight w:val="none"/>
        </w:rPr>
        <w:t>（四）市选拔赛相关规则按照《关于印发中山市职业技能竞赛管理办法的通知》(中人社规字〔2023〕3号，中人社发〔2023〕38号)规定执行。</w:t>
      </w:r>
    </w:p>
    <w:p w14:paraId="6D5285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rPr>
          <w:rFonts w:hint="eastAsia" w:ascii="黑体" w:hAnsi="黑体" w:eastAsia="黑体"/>
          <w:color w:val="auto"/>
          <w:spacing w:val="-6"/>
          <w:szCs w:val="32"/>
          <w:highlight w:val="none"/>
        </w:rPr>
      </w:pPr>
      <w:r>
        <w:rPr>
          <w:rFonts w:hint="eastAsia" w:ascii="黑体" w:hAnsi="黑体" w:eastAsia="黑体"/>
          <w:color w:val="auto"/>
          <w:spacing w:val="-6"/>
          <w:szCs w:val="32"/>
          <w:highlight w:val="none"/>
        </w:rPr>
        <w:t>七</w:t>
      </w:r>
      <w:r>
        <w:rPr>
          <w:rFonts w:ascii="黑体" w:hAnsi="黑体" w:eastAsia="黑体"/>
          <w:color w:val="auto"/>
          <w:spacing w:val="-6"/>
          <w:szCs w:val="32"/>
          <w:highlight w:val="none"/>
        </w:rPr>
        <w:t>、</w:t>
      </w:r>
      <w:r>
        <w:rPr>
          <w:rFonts w:hint="eastAsia" w:ascii="黑体" w:hAnsi="黑体" w:eastAsia="黑体"/>
          <w:color w:val="auto"/>
          <w:spacing w:val="-6"/>
          <w:szCs w:val="32"/>
          <w:highlight w:val="none"/>
        </w:rPr>
        <w:t>联系方式</w:t>
      </w:r>
    </w:p>
    <w:p w14:paraId="52918C8C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rPr>
          <w:rFonts w:hint="eastAsia" w:ascii="Times New Roman" w:hAnsi="Times New Roman" w:eastAsia="仿宋_GB2312" w:cs="Times New Roman"/>
          <w:strike/>
          <w:color w:val="auto"/>
          <w:spacing w:val="-6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val="en-US" w:eastAsia="zh-CN" w:bidi="ar-SA"/>
        </w:rPr>
        <w:t>组委会联系人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val="en-US" w:eastAsia="zh-CN" w:bidi="ar-SA"/>
        </w:rPr>
        <w:t>及联系电话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val="en-US" w:eastAsia="zh-CN" w:bidi="ar-SA"/>
        </w:rPr>
        <w:t>：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val="en-US" w:eastAsia="zh-CN" w:bidi="ar-SA"/>
        </w:rPr>
        <w:t>江群，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lang w:val="en-US" w:eastAsia="zh-CN"/>
        </w:rPr>
        <w:t>23320502</w:t>
      </w:r>
      <w:r>
        <w:rPr>
          <w:rFonts w:hint="eastAsia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val="en-US" w:eastAsia="zh-CN" w:bidi="ar-SA"/>
        </w:rPr>
        <w:t>黄霞娟</w:t>
      </w:r>
      <w:r>
        <w:rPr>
          <w:rFonts w:hint="eastAsia" w:ascii="Times New Roman" w:hAnsi="Times New Roman" w:eastAsia="仿宋_GB2312" w:cs="Times New Roman"/>
          <w:color w:val="auto"/>
          <w:spacing w:val="-6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lang w:val="en-US" w:eastAsia="zh-CN"/>
        </w:rPr>
        <w:t>88221132</w:t>
      </w:r>
      <w:r>
        <w:rPr>
          <w:rFonts w:hint="eastAsia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lang w:eastAsia="zh-CN"/>
        </w:rPr>
        <w:t>。</w:t>
      </w:r>
    </w:p>
    <w:p w14:paraId="11A8667D">
      <w:pPr>
        <w:spacing w:line="560" w:lineRule="atLeast"/>
        <w:ind w:firstLine="616" w:firstLineChars="200"/>
        <w:rPr>
          <w:rFonts w:hint="eastAsia" w:ascii="Times New Roman" w:hAnsi="Times New Roman" w:eastAsia="仿宋_GB2312" w:cs="Times New Roman"/>
          <w:color w:val="auto"/>
          <w:spacing w:val="-6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spacing w:val="-6"/>
          <w:kern w:val="0"/>
          <w:szCs w:val="32"/>
          <w:highlight w:val="none"/>
        </w:rPr>
        <w:t>电子邮箱: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lang w:val="zh-TW" w:eastAsia="zh-TW" w:bidi="zh-TW"/>
        </w:rPr>
        <w:t>2965074257@qq.com</w:t>
      </w:r>
      <w:r>
        <w:rPr>
          <w:rFonts w:hint="eastAsia" w:ascii="Times New Roman" w:hAnsi="Times New Roman" w:cs="Times New Roman"/>
          <w:color w:val="auto"/>
          <w:spacing w:val="-6"/>
          <w:kern w:val="0"/>
          <w:sz w:val="32"/>
          <w:szCs w:val="32"/>
          <w:highlight w:val="none"/>
          <w:lang w:val="zh-TW" w:eastAsia="zh-CN" w:bidi="zh-TW"/>
        </w:rPr>
        <w:t>。</w:t>
      </w:r>
    </w:p>
    <w:p w14:paraId="710608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rPr>
          <w:rFonts w:hint="eastAsia" w:ascii="Times New Roman" w:hAnsi="Times New Roman" w:eastAsia="仿宋_GB2312" w:cs="Times New Roman"/>
          <w:color w:val="auto"/>
          <w:spacing w:val="-6"/>
          <w:szCs w:val="32"/>
          <w:highlight w:val="none"/>
          <w:lang w:eastAsia="zh-CN"/>
        </w:rPr>
      </w:pPr>
      <w:bookmarkStart w:id="0" w:name="_GoBack"/>
      <w:bookmarkEnd w:id="0"/>
    </w:p>
    <w:p w14:paraId="241A93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color w:val="auto"/>
          <w:spacing w:val="-6"/>
          <w:szCs w:val="32"/>
          <w:highlight w:val="none"/>
        </w:rPr>
      </w:pPr>
    </w:p>
    <w:sectPr>
      <w:pgSz w:w="11906" w:h="16838"/>
      <w:pgMar w:top="2098" w:right="1701" w:bottom="1984" w:left="1701" w:header="1417" w:footer="1701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0"/>
  <w:bordersDoNotSurroundFooter w:val="0"/>
  <w:documentProtection w:enforcement="0"/>
  <w:defaultTabStop w:val="420"/>
  <w:drawingGridHorizontalSpacing w:val="3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F609F"/>
    <w:rsid w:val="00013BF2"/>
    <w:rsid w:val="00032553"/>
    <w:rsid w:val="00037DB2"/>
    <w:rsid w:val="00063D91"/>
    <w:rsid w:val="001114C1"/>
    <w:rsid w:val="00120277"/>
    <w:rsid w:val="00146D1A"/>
    <w:rsid w:val="001C162B"/>
    <w:rsid w:val="001C5F47"/>
    <w:rsid w:val="00232BE7"/>
    <w:rsid w:val="002959F9"/>
    <w:rsid w:val="002A05D8"/>
    <w:rsid w:val="002F1B43"/>
    <w:rsid w:val="0030138C"/>
    <w:rsid w:val="00330D08"/>
    <w:rsid w:val="00337CDE"/>
    <w:rsid w:val="00371B5E"/>
    <w:rsid w:val="003729F3"/>
    <w:rsid w:val="00394C31"/>
    <w:rsid w:val="00423B7C"/>
    <w:rsid w:val="004B5499"/>
    <w:rsid w:val="004D6609"/>
    <w:rsid w:val="004F4073"/>
    <w:rsid w:val="00544AAD"/>
    <w:rsid w:val="00562739"/>
    <w:rsid w:val="005C591E"/>
    <w:rsid w:val="005E13C4"/>
    <w:rsid w:val="00600648"/>
    <w:rsid w:val="0060775F"/>
    <w:rsid w:val="00607B83"/>
    <w:rsid w:val="00672342"/>
    <w:rsid w:val="00687A6A"/>
    <w:rsid w:val="006909FA"/>
    <w:rsid w:val="006A325E"/>
    <w:rsid w:val="006C22F6"/>
    <w:rsid w:val="00714FA8"/>
    <w:rsid w:val="007252C0"/>
    <w:rsid w:val="00734BF3"/>
    <w:rsid w:val="00745FB3"/>
    <w:rsid w:val="007C4899"/>
    <w:rsid w:val="007C5BDE"/>
    <w:rsid w:val="007D18B4"/>
    <w:rsid w:val="008126BB"/>
    <w:rsid w:val="0089654A"/>
    <w:rsid w:val="00897BD3"/>
    <w:rsid w:val="008A3363"/>
    <w:rsid w:val="008B09A4"/>
    <w:rsid w:val="00965FCD"/>
    <w:rsid w:val="00975D29"/>
    <w:rsid w:val="00976DED"/>
    <w:rsid w:val="009A2B6E"/>
    <w:rsid w:val="00A41D79"/>
    <w:rsid w:val="00A44E3E"/>
    <w:rsid w:val="00AA42E4"/>
    <w:rsid w:val="00AB1B44"/>
    <w:rsid w:val="00B15917"/>
    <w:rsid w:val="00B701DF"/>
    <w:rsid w:val="00BE1D64"/>
    <w:rsid w:val="00C729DB"/>
    <w:rsid w:val="00C86BCC"/>
    <w:rsid w:val="00CD53A4"/>
    <w:rsid w:val="00D22099"/>
    <w:rsid w:val="00D55733"/>
    <w:rsid w:val="00EB5F3B"/>
    <w:rsid w:val="00EE023C"/>
    <w:rsid w:val="00F14D22"/>
    <w:rsid w:val="00F364A7"/>
    <w:rsid w:val="00F5509F"/>
    <w:rsid w:val="00F55133"/>
    <w:rsid w:val="00FF7E44"/>
    <w:rsid w:val="033244A1"/>
    <w:rsid w:val="04E64C17"/>
    <w:rsid w:val="04F43119"/>
    <w:rsid w:val="059730C0"/>
    <w:rsid w:val="07BC4FBB"/>
    <w:rsid w:val="086B120A"/>
    <w:rsid w:val="0A052E06"/>
    <w:rsid w:val="0AD25554"/>
    <w:rsid w:val="0E52151F"/>
    <w:rsid w:val="0EC65E95"/>
    <w:rsid w:val="11EBC835"/>
    <w:rsid w:val="12E34E3B"/>
    <w:rsid w:val="14AC2319"/>
    <w:rsid w:val="14E31122"/>
    <w:rsid w:val="1635642A"/>
    <w:rsid w:val="16D30880"/>
    <w:rsid w:val="1822701B"/>
    <w:rsid w:val="18C26FB5"/>
    <w:rsid w:val="18DB43B6"/>
    <w:rsid w:val="195334CF"/>
    <w:rsid w:val="1C310842"/>
    <w:rsid w:val="1D8EBC8E"/>
    <w:rsid w:val="1FAF95A3"/>
    <w:rsid w:val="1FAFD1B6"/>
    <w:rsid w:val="1FAFDA07"/>
    <w:rsid w:val="206340EC"/>
    <w:rsid w:val="20C462AC"/>
    <w:rsid w:val="22F83B14"/>
    <w:rsid w:val="23FE163F"/>
    <w:rsid w:val="273F4ABF"/>
    <w:rsid w:val="27822A8D"/>
    <w:rsid w:val="27F7D759"/>
    <w:rsid w:val="28A11A2C"/>
    <w:rsid w:val="29E654E5"/>
    <w:rsid w:val="2AEDF113"/>
    <w:rsid w:val="2AF1C9B7"/>
    <w:rsid w:val="2B9808CD"/>
    <w:rsid w:val="2CB6F696"/>
    <w:rsid w:val="2CFF7085"/>
    <w:rsid w:val="2DB72CF5"/>
    <w:rsid w:val="2DDA05BC"/>
    <w:rsid w:val="2E400F3C"/>
    <w:rsid w:val="2EFA6A75"/>
    <w:rsid w:val="2FF609C0"/>
    <w:rsid w:val="30560E0A"/>
    <w:rsid w:val="30574352"/>
    <w:rsid w:val="307551E0"/>
    <w:rsid w:val="31344D88"/>
    <w:rsid w:val="33AD0E22"/>
    <w:rsid w:val="358E358F"/>
    <w:rsid w:val="362829E1"/>
    <w:rsid w:val="36510CBB"/>
    <w:rsid w:val="36FF941D"/>
    <w:rsid w:val="375F5893"/>
    <w:rsid w:val="3914608F"/>
    <w:rsid w:val="3A72247D"/>
    <w:rsid w:val="3AF5DAE2"/>
    <w:rsid w:val="3BBC7CEC"/>
    <w:rsid w:val="3DFF26D8"/>
    <w:rsid w:val="3ED835C0"/>
    <w:rsid w:val="3EFF5E2A"/>
    <w:rsid w:val="3F5A3942"/>
    <w:rsid w:val="3FA7CC6D"/>
    <w:rsid w:val="3FB1F970"/>
    <w:rsid w:val="3FD52F2D"/>
    <w:rsid w:val="3FE23B42"/>
    <w:rsid w:val="3FF787DE"/>
    <w:rsid w:val="41211F97"/>
    <w:rsid w:val="41685D9E"/>
    <w:rsid w:val="43251215"/>
    <w:rsid w:val="444D190A"/>
    <w:rsid w:val="45923420"/>
    <w:rsid w:val="4686197B"/>
    <w:rsid w:val="47BB707D"/>
    <w:rsid w:val="4C7FDD90"/>
    <w:rsid w:val="4EBD26B0"/>
    <w:rsid w:val="4F0820DB"/>
    <w:rsid w:val="4F756D27"/>
    <w:rsid w:val="50CC6976"/>
    <w:rsid w:val="5266283E"/>
    <w:rsid w:val="5275253C"/>
    <w:rsid w:val="52AB74F6"/>
    <w:rsid w:val="53513120"/>
    <w:rsid w:val="53EE2E47"/>
    <w:rsid w:val="54D0764E"/>
    <w:rsid w:val="55D928EA"/>
    <w:rsid w:val="55FF9E61"/>
    <w:rsid w:val="57372FA1"/>
    <w:rsid w:val="57DF4A1A"/>
    <w:rsid w:val="59735715"/>
    <w:rsid w:val="5A713E1B"/>
    <w:rsid w:val="5BCF1D1D"/>
    <w:rsid w:val="5BDF27D2"/>
    <w:rsid w:val="5BFF6AF1"/>
    <w:rsid w:val="5C5B204E"/>
    <w:rsid w:val="5CFD7F6F"/>
    <w:rsid w:val="5D73BDAA"/>
    <w:rsid w:val="5DBBFB47"/>
    <w:rsid w:val="5DBE46EF"/>
    <w:rsid w:val="5F207348"/>
    <w:rsid w:val="5FEFBAAB"/>
    <w:rsid w:val="5FF43138"/>
    <w:rsid w:val="5FFB29E8"/>
    <w:rsid w:val="5FFBB1E5"/>
    <w:rsid w:val="5FFCBFA2"/>
    <w:rsid w:val="630A5E92"/>
    <w:rsid w:val="648F5856"/>
    <w:rsid w:val="64CD1AD5"/>
    <w:rsid w:val="65FE3AC0"/>
    <w:rsid w:val="674B3DA0"/>
    <w:rsid w:val="677F37DF"/>
    <w:rsid w:val="67DA5694"/>
    <w:rsid w:val="67FC612E"/>
    <w:rsid w:val="680B2738"/>
    <w:rsid w:val="68D77169"/>
    <w:rsid w:val="68ED3A45"/>
    <w:rsid w:val="694F3474"/>
    <w:rsid w:val="699730DD"/>
    <w:rsid w:val="6A1860E8"/>
    <w:rsid w:val="6B1FBACB"/>
    <w:rsid w:val="6B282560"/>
    <w:rsid w:val="6B5B4F68"/>
    <w:rsid w:val="6B5C3FF9"/>
    <w:rsid w:val="6B9402B3"/>
    <w:rsid w:val="6BBA6161"/>
    <w:rsid w:val="6BBBBE89"/>
    <w:rsid w:val="6C3E165F"/>
    <w:rsid w:val="6CDF429D"/>
    <w:rsid w:val="6D006E11"/>
    <w:rsid w:val="6D6F9038"/>
    <w:rsid w:val="6DE5E3EB"/>
    <w:rsid w:val="6DE79EA1"/>
    <w:rsid w:val="6DF41EF2"/>
    <w:rsid w:val="6E2F89AB"/>
    <w:rsid w:val="6E95615F"/>
    <w:rsid w:val="6EDF125A"/>
    <w:rsid w:val="6EDF525D"/>
    <w:rsid w:val="6EEBB723"/>
    <w:rsid w:val="6F7FFC41"/>
    <w:rsid w:val="6F9E3F53"/>
    <w:rsid w:val="6FBED932"/>
    <w:rsid w:val="6FBF22CA"/>
    <w:rsid w:val="6FDCB9D9"/>
    <w:rsid w:val="6FE0E47A"/>
    <w:rsid w:val="700C41FF"/>
    <w:rsid w:val="71DB3640"/>
    <w:rsid w:val="72557A28"/>
    <w:rsid w:val="737F5D39"/>
    <w:rsid w:val="73F843B0"/>
    <w:rsid w:val="73FFFC42"/>
    <w:rsid w:val="74951B30"/>
    <w:rsid w:val="74A54B7B"/>
    <w:rsid w:val="752244C4"/>
    <w:rsid w:val="75986E72"/>
    <w:rsid w:val="759CAF07"/>
    <w:rsid w:val="76FD7D38"/>
    <w:rsid w:val="77773E19"/>
    <w:rsid w:val="777E6B4B"/>
    <w:rsid w:val="77DF28A0"/>
    <w:rsid w:val="77F7EC53"/>
    <w:rsid w:val="799BCE0A"/>
    <w:rsid w:val="7AC41E7E"/>
    <w:rsid w:val="7AE6134A"/>
    <w:rsid w:val="7AEF52A6"/>
    <w:rsid w:val="7AFEA7FA"/>
    <w:rsid w:val="7BF1BF4F"/>
    <w:rsid w:val="7BFB5ED2"/>
    <w:rsid w:val="7BFEBADA"/>
    <w:rsid w:val="7CBA28EF"/>
    <w:rsid w:val="7CD24A22"/>
    <w:rsid w:val="7CF8F7AC"/>
    <w:rsid w:val="7D2708CA"/>
    <w:rsid w:val="7D2B29AA"/>
    <w:rsid w:val="7D3F0D07"/>
    <w:rsid w:val="7DDD569D"/>
    <w:rsid w:val="7DDDFF65"/>
    <w:rsid w:val="7DF59033"/>
    <w:rsid w:val="7E2D57C9"/>
    <w:rsid w:val="7E379B17"/>
    <w:rsid w:val="7E466A87"/>
    <w:rsid w:val="7EBE2D26"/>
    <w:rsid w:val="7EBF3434"/>
    <w:rsid w:val="7EFF5AA6"/>
    <w:rsid w:val="7EFFA4C4"/>
    <w:rsid w:val="7F09108C"/>
    <w:rsid w:val="7F1FE20B"/>
    <w:rsid w:val="7F7BA8E9"/>
    <w:rsid w:val="7F7DE60C"/>
    <w:rsid w:val="7F7F1B0B"/>
    <w:rsid w:val="7FA968DA"/>
    <w:rsid w:val="7FADFBEC"/>
    <w:rsid w:val="7FB26E31"/>
    <w:rsid w:val="7FBEB65A"/>
    <w:rsid w:val="7FDBF09B"/>
    <w:rsid w:val="7FDFF95C"/>
    <w:rsid w:val="7FF90591"/>
    <w:rsid w:val="7FFD8315"/>
    <w:rsid w:val="93FD9752"/>
    <w:rsid w:val="9EFF5F8B"/>
    <w:rsid w:val="9FD325DC"/>
    <w:rsid w:val="9FDE13B4"/>
    <w:rsid w:val="A9FECAB2"/>
    <w:rsid w:val="AE7F260B"/>
    <w:rsid w:val="AFEEB078"/>
    <w:rsid w:val="AFF7B8B5"/>
    <w:rsid w:val="B2BBCE18"/>
    <w:rsid w:val="B6F73B85"/>
    <w:rsid w:val="B7AD6E5D"/>
    <w:rsid w:val="B7DFCB4F"/>
    <w:rsid w:val="B8F77CED"/>
    <w:rsid w:val="BA7AF1B5"/>
    <w:rsid w:val="BBD7EE38"/>
    <w:rsid w:val="BC6D5305"/>
    <w:rsid w:val="BD9C958A"/>
    <w:rsid w:val="BD9F5895"/>
    <w:rsid w:val="BDF71643"/>
    <w:rsid w:val="BE68BFB7"/>
    <w:rsid w:val="BE759E12"/>
    <w:rsid w:val="BED5BEEC"/>
    <w:rsid w:val="BEDF6FEB"/>
    <w:rsid w:val="BF15CD74"/>
    <w:rsid w:val="BFEE72EF"/>
    <w:rsid w:val="BFFFCBE7"/>
    <w:rsid w:val="C34B1909"/>
    <w:rsid w:val="C3CF837A"/>
    <w:rsid w:val="C76FB2D5"/>
    <w:rsid w:val="CB13019B"/>
    <w:rsid w:val="CFD7F9D4"/>
    <w:rsid w:val="D6715190"/>
    <w:rsid w:val="D7AFE592"/>
    <w:rsid w:val="D81F91D3"/>
    <w:rsid w:val="DA9FC657"/>
    <w:rsid w:val="DBBC5F44"/>
    <w:rsid w:val="DC615676"/>
    <w:rsid w:val="DCF9ED78"/>
    <w:rsid w:val="DDA386CB"/>
    <w:rsid w:val="DDB5F804"/>
    <w:rsid w:val="DDFE4CCF"/>
    <w:rsid w:val="DEBFB52A"/>
    <w:rsid w:val="DF17C6F8"/>
    <w:rsid w:val="DF6FB8B6"/>
    <w:rsid w:val="DF7FBDE8"/>
    <w:rsid w:val="DFD535B3"/>
    <w:rsid w:val="DFDFAB9D"/>
    <w:rsid w:val="DFEF6B23"/>
    <w:rsid w:val="DFFA19DB"/>
    <w:rsid w:val="DFFE42B2"/>
    <w:rsid w:val="E0BFE0C2"/>
    <w:rsid w:val="E2BC7818"/>
    <w:rsid w:val="E5DF3780"/>
    <w:rsid w:val="E6EFCF41"/>
    <w:rsid w:val="E76B2798"/>
    <w:rsid w:val="E7EF994D"/>
    <w:rsid w:val="E7F7CE30"/>
    <w:rsid w:val="E7FE25D1"/>
    <w:rsid w:val="E9DFF62C"/>
    <w:rsid w:val="ED5BFA55"/>
    <w:rsid w:val="EEBD4D25"/>
    <w:rsid w:val="EF6FEFDE"/>
    <w:rsid w:val="EFFBA568"/>
    <w:rsid w:val="EFFF85F5"/>
    <w:rsid w:val="F2FFE3A6"/>
    <w:rsid w:val="F53F6871"/>
    <w:rsid w:val="F68F63CF"/>
    <w:rsid w:val="F6B7427B"/>
    <w:rsid w:val="F6EFD4CC"/>
    <w:rsid w:val="F7749687"/>
    <w:rsid w:val="F7BB82D1"/>
    <w:rsid w:val="F7E9D4DF"/>
    <w:rsid w:val="F7F612C9"/>
    <w:rsid w:val="F7FD118B"/>
    <w:rsid w:val="F7FE7E95"/>
    <w:rsid w:val="F7FECE9D"/>
    <w:rsid w:val="F97FAE42"/>
    <w:rsid w:val="F98F744D"/>
    <w:rsid w:val="F9F80479"/>
    <w:rsid w:val="FA3CEC97"/>
    <w:rsid w:val="FBCE0B38"/>
    <w:rsid w:val="FBF30306"/>
    <w:rsid w:val="FBF54055"/>
    <w:rsid w:val="FBFB5A97"/>
    <w:rsid w:val="FBFF39B0"/>
    <w:rsid w:val="FCDF566A"/>
    <w:rsid w:val="FCFF78D3"/>
    <w:rsid w:val="FD7D1843"/>
    <w:rsid w:val="FDF51028"/>
    <w:rsid w:val="FDF73121"/>
    <w:rsid w:val="FEBFE2A5"/>
    <w:rsid w:val="FEC4396F"/>
    <w:rsid w:val="FEDC577C"/>
    <w:rsid w:val="FEFD2B44"/>
    <w:rsid w:val="FEFF67C0"/>
    <w:rsid w:val="FF1E5A3E"/>
    <w:rsid w:val="FF7FD362"/>
    <w:rsid w:val="FF9B7AB0"/>
    <w:rsid w:val="FFBF1AB7"/>
    <w:rsid w:val="FFD3B0A2"/>
    <w:rsid w:val="FFDD2C4E"/>
    <w:rsid w:val="FFDDF46E"/>
    <w:rsid w:val="FFDFF593"/>
    <w:rsid w:val="FFE7C9F8"/>
    <w:rsid w:val="FFEBA468"/>
    <w:rsid w:val="FFEFFDFC"/>
    <w:rsid w:val="FFF20F4E"/>
    <w:rsid w:val="FFF71BAB"/>
    <w:rsid w:val="FFF7C092"/>
    <w:rsid w:val="FFF91581"/>
    <w:rsid w:val="FFFD3C30"/>
    <w:rsid w:val="FFFD94DA"/>
    <w:rsid w:val="FFFE7EFB"/>
    <w:rsid w:val="FFFEC760"/>
    <w:rsid w:val="FFFF3CAA"/>
    <w:rsid w:val="FFFF609F"/>
    <w:rsid w:val="FFFF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1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kern w:val="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nhideWhenUsed/>
    <w:qFormat/>
    <w:uiPriority w:val="99"/>
    <w:pPr>
      <w:jc w:val="left"/>
    </w:p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1"/>
    <w:pPr>
      <w:widowControl/>
      <w:spacing w:before="100" w:beforeAutospacing="1" w:after="100" w:afterAutospacing="1"/>
      <w:jc w:val="left"/>
    </w:pPr>
    <w:rPr>
      <w:rFonts w:ascii="宋体" w:hAnsi="Calibri" w:eastAsia="宋体" w:cs="宋体"/>
      <w:kern w:val="0"/>
      <w:sz w:val="24"/>
      <w:szCs w:val="22"/>
    </w:rPr>
  </w:style>
  <w:style w:type="character" w:styleId="9">
    <w:name w:val="Strong"/>
    <w:qFormat/>
    <w:uiPriority w:val="0"/>
    <w:rPr>
      <w:b/>
    </w:rPr>
  </w:style>
  <w:style w:type="character" w:styleId="10">
    <w:name w:val="annotation reference"/>
    <w:unhideWhenUsed/>
    <w:qFormat/>
    <w:uiPriority w:val="99"/>
    <w:rPr>
      <w:sz w:val="21"/>
      <w:szCs w:val="21"/>
    </w:rPr>
  </w:style>
  <w:style w:type="paragraph" w:customStyle="1" w:styleId="11">
    <w:name w:val="Body text|1"/>
    <w:basedOn w:val="1"/>
    <w:qFormat/>
    <w:uiPriority w:val="0"/>
    <w:pPr>
      <w:spacing w:line="427" w:lineRule="auto"/>
      <w:ind w:firstLine="400"/>
    </w:pPr>
    <w:rPr>
      <w:rFonts w:ascii="宋体" w:hAnsi="宋体" w:eastAsia="宋体" w:cs="宋体"/>
      <w:sz w:val="28"/>
      <w:szCs w:val="28"/>
      <w:lang w:val="zh-TW" w:eastAsia="zh-TW" w:bidi="zh-TW"/>
    </w:rPr>
  </w:style>
  <w:style w:type="paragraph" w:customStyle="1" w:styleId="12">
    <w:name w:val="Body text|2"/>
    <w:basedOn w:val="1"/>
    <w:qFormat/>
    <w:uiPriority w:val="0"/>
    <w:pPr>
      <w:spacing w:before="100" w:beforeAutospacing="1" w:after="210"/>
      <w:ind w:firstLine="620"/>
    </w:pPr>
    <w:rPr>
      <w:rFonts w:ascii="宋体" w:hAnsi="宋体" w:eastAsia="宋体" w:cs="宋体"/>
      <w:sz w:val="21"/>
      <w:szCs w:val="21"/>
    </w:rPr>
  </w:style>
  <w:style w:type="character" w:customStyle="1" w:styleId="13">
    <w:name w:val="页眉 字符"/>
    <w:basedOn w:val="8"/>
    <w:link w:val="5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14">
    <w:name w:val="页脚 字符"/>
    <w:basedOn w:val="8"/>
    <w:link w:val="4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  <w:style w:type="paragraph" w:customStyle="1" w:styleId="15">
    <w:name w:val="Char Char Char Char Char Char Char Char Char Char Char1 Char"/>
    <w:basedOn w:val="1"/>
    <w:qFormat/>
    <w:uiPriority w:val="0"/>
  </w:style>
  <w:style w:type="character" w:customStyle="1" w:styleId="16">
    <w:name w:val="15"/>
    <w:qFormat/>
    <w:uiPriority w:val="0"/>
    <w:rPr>
      <w:rFonts w:hint="default" w:ascii="Times New Roman" w:hAnsi="Times New Roman" w:eastAsia="宋体" w:cs="Times New Roman"/>
    </w:rPr>
  </w:style>
  <w:style w:type="paragraph" w:customStyle="1" w:styleId="17">
    <w:name w:val="默认段落字体 Para Char Char Char Char Char Char Char Char Char Char"/>
    <w:basedOn w:val="1"/>
    <w:qFormat/>
    <w:uiPriority w:val="0"/>
    <w:rPr>
      <w:szCs w:val="32"/>
    </w:rPr>
  </w:style>
  <w:style w:type="paragraph" w:customStyle="1" w:styleId="18">
    <w:name w:val="Revision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2653</Words>
  <Characters>2730</Characters>
  <Lines>17</Lines>
  <Paragraphs>4</Paragraphs>
  <TotalTime>0</TotalTime>
  <ScaleCrop>false</ScaleCrop>
  <LinksUpToDate>false</LinksUpToDate>
  <CharactersWithSpaces>2741</CharactersWithSpaces>
  <Application>WPS Office WWO_wpscloud_20260608094806-0f98d75745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2025-01-03T18:23:00Z</dcterms:created>
  <dc:creator>yanCheung</dc:creator>
  <cp:lastModifiedBy>孙立</cp:lastModifiedBy>
  <dcterms:modified xsi:type="dcterms:W3CDTF">2026-10-20T20:00:26Z</dcterms:modified>
  <dc:title>附件1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2052-12.9.0.26442</vt:lpwstr>
  </property>
  <property fmtid="{D5CDD505-2E9C-101B-9397-08002B2CF9AE}" pid="3" name="ICV">
    <vt:lpwstr>298DE3C329162D7ADA57D76AAB778C11_43</vt:lpwstr>
  </property>
  <property fmtid="{D5CDD505-2E9C-101B-9397-08002B2CF9AE}" pid="4" name="KSOTemplateDocerSaveRecord">
    <vt:lpwstr>eyJoZGlkIjoiODAwNDAxM2YyNWNiYTA4OWY4YjRmNjk2NzUyYWY0NmEiLCJ1c2VySWQiOiIyNzc3ODAyMjkifQ==</vt:lpwstr>
  </property>
</Properties>
</file>